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Calibri" w:cs="Calibri" w:eastAsia="Calibri" w:hAnsi="Calibri"/>
          <w:b/>
          <w:bCs/>
          <w:color w:val="0D5A8E"/>
          <w:sz w:val="44"/>
          <w:szCs w:val="44"/>
        </w:rPr>
        <w:t xml:space="preserve">COMMERCIAL PROPOSAL</w:t>
      </w:r>
    </w:p>
    <w:p>
      <w:pPr>
        <w:spacing w:after="60"/>
      </w:pPr>
      <w:r>
        <w:rPr>
          <w:rFonts w:ascii="Calibri" w:cs="Calibri" w:eastAsia="Calibri" w:hAnsi="Calibri"/>
          <w:b/>
          <w:bCs/>
          <w:color w:val="1B9AE4"/>
          <w:sz w:val="28"/>
          <w:szCs w:val="28"/>
        </w:rPr>
        <w:t xml:space="preserve">Turnkey Development &amp; Operation of the GeneralLink Platform</w:t>
      </w:r>
    </w:p>
    <w:p>
      <w:pPr>
        <w:spacing w:after="500"/>
      </w:pPr>
      <w:r>
        <w:rPr>
          <w:rFonts w:ascii="Calibri" w:cs="Calibri" w:eastAsia="Calibri" w:hAnsi="Calibri"/>
          <w:i/>
          <w:iCs/>
          <w:color w:val="718096"/>
          <w:sz w:val="20"/>
          <w:szCs w:val="20"/>
        </w:rPr>
        <w:t xml:space="preserve">Unlimited-user capacity · Scalable in blocks of 10,000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
            </w:r>
          </w:p>
        </w:tc>
        <w:tc>
          <w:tcPr>
            <w:tcW w:type="dxa" w:w="624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
            </w:r>
          </w:p>
        </w:tc>
      </w:tr>
      <w:tr>
        <w:tc>
          <w:tcPr>
            <w:tcW w:type="dxa" w:w="31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Prepared for</w:t>
            </w:r>
          </w:p>
        </w:tc>
        <w:tc>
          <w:tcPr>
            <w:tcW w:type="dxa" w:w="62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Client (name to be confirmed)</w:t>
            </w:r>
          </w:p>
        </w:tc>
      </w:tr>
      <w:tr>
        <w:tc>
          <w:tcPr>
            <w:tcW w:type="dxa" w:w="31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Prepared by</w:t>
            </w:r>
          </w:p>
        </w:tc>
        <w:tc>
          <w:tcPr>
            <w:tcW w:type="dxa" w:w="62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Chris Yap — chrisyapywj88@gmail.com</w:t>
            </w:r>
          </w:p>
        </w:tc>
      </w:tr>
      <w:tr>
        <w:tc>
          <w:tcPr>
            <w:tcW w:type="dxa" w:w="31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Date</w:t>
            </w:r>
          </w:p>
        </w:tc>
        <w:tc>
          <w:tcPr>
            <w:tcW w:type="dxa" w:w="62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14 August 2026</w:t>
            </w:r>
          </w:p>
        </w:tc>
      </w:tr>
      <w:tr>
        <w:tc>
          <w:tcPr>
            <w:tcW w:type="dxa" w:w="31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Proposal validity</w:t>
            </w:r>
          </w:p>
        </w:tc>
        <w:tc>
          <w:tcPr>
            <w:tcW w:type="dxa" w:w="62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30 days from date above</w:t>
            </w:r>
          </w:p>
        </w:tc>
      </w:tr>
      <w:tr>
        <w:tc>
          <w:tcPr>
            <w:tcW w:type="dxa" w:w="31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Currency</w:t>
            </w:r>
          </w:p>
        </w:tc>
        <w:tc>
          <w:tcPr>
            <w:tcW w:type="dxa" w:w="62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Malaysian Ringgit (RM)</w:t>
            </w:r>
          </w:p>
        </w:tc>
      </w:tr>
    </w:tbl>
    <w:p>
      <w:r>
        <w:br w:type="page"/>
      </w:r>
    </w:p>
    <w:p>
      <w:pPr>
        <w:pStyle w:val="Heading1"/>
        <w:pBdr>
          <w:bottom w:val="single" w:color="0D5A8E" w:sz="6" w:space="4"/>
        </w:pBdr>
        <w:spacing w:after="160" w:before="320"/>
      </w:pPr>
      <w:r>
        <w:rPr>
          <w:rFonts w:ascii="Calibri" w:cs="Calibri" w:eastAsia="Calibri" w:hAnsi="Calibri"/>
          <w:b/>
          <w:bCs/>
          <w:color w:val="0D5A8E"/>
          <w:sz w:val="26"/>
          <w:szCs w:val="26"/>
        </w:rPr>
        <w:t xml:space="preserve">1. Executive Summary</w:t>
      </w:r>
    </w:p>
    <w:p>
      <w:pPr>
        <w:spacing w:after="140"/>
      </w:pPr>
      <w:r>
        <w:rPr>
          <w:rFonts w:ascii="Calibri" w:cs="Calibri" w:eastAsia="Calibri" w:hAnsi="Calibri"/>
          <w:color w:val="2D3748"/>
          <w:sz w:val="20"/>
          <w:szCs w:val="20"/>
        </w:rPr>
        <w:t xml:space="preserve">This proposal sets out the full cost and commercial terms to design, build, operate, and support the GeneralLink platform on a turnkey outsourced basis: an insurance-agent-network and vendor-affiliate digital ecosystem with unlimited user capacity. It covers everything required to stand up a small dedicated operating team and technical infrastructure from zero — office, equipment, staffing, hosting, AI and communication subscriptions — and to run it for three years, with cost scaling transparently as the user base and transaction volume grow.</w:t>
      </w:r>
    </w:p>
    <w:p>
      <w:pPr>
        <w:spacing w:after="140"/>
      </w:pPr>
      <w:r>
        <w:rPr>
          <w:rFonts w:ascii="Calibri" w:cs="Calibri" w:eastAsia="Calibri" w:hAnsi="Calibri"/>
          <w:color w:val="2D3748"/>
          <w:sz w:val="20"/>
          <w:szCs w:val="20"/>
        </w:rPr>
        <w:t xml:space="preserve">The starting assumption is a modest monthly platform sales volume of RM10,000, unknown at the time of this proposal, growing over time. Every recurring cost in this proposal is built as a formula tied to active-user count, so the model scales cleanly in blocks of 10,000 users rather than needing to be re-quoted at each milestone.</w:t>
      </w:r>
    </w:p>
    <w:p>
      <w:pPr>
        <w:spacing w:after="100" w:before="200"/>
      </w:pPr>
      <w:r>
        <w:rPr>
          <w:rFonts w:ascii="Calibri" w:cs="Calibri" w:eastAsia="Calibri" w:hAnsi="Calibri"/>
          <w:b/>
          <w:bCs/>
          <w:color w:val="1B9AE4"/>
          <w:sz w:val="22"/>
          <w:szCs w:val="22"/>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
            </w:r>
          </w:p>
        </w:tc>
        <w:tc>
          <w:tcPr>
            <w:tcW w:type="dxa" w:w="165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1</w:t>
            </w:r>
          </w:p>
        </w:tc>
        <w:tc>
          <w:tcPr>
            <w:tcW w:type="dxa" w:w="165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2</w:t>
            </w:r>
          </w:p>
        </w:tc>
        <w:tc>
          <w:tcPr>
            <w:tcW w:type="dxa" w:w="165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3</w:t>
            </w:r>
          </w:p>
        </w:tc>
        <w:tc>
          <w:tcPr>
            <w:tcW w:type="dxa" w:w="165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3-Year Total</w:t>
            </w:r>
          </w:p>
        </w:tc>
      </w:tr>
      <w:tr>
        <w:tc>
          <w:tcPr>
            <w:tcW w:type="dxa" w:w="2760"/>
            <w:shd w:fill="F7FDFF" w:val="clear"/>
            <w:tcMar>
              <w:top w:type="dxa" w:w="80"/>
              <w:left w:type="dxa" w:w="100"/>
              <w:bottom w:type="dxa" w:w="80"/>
              <w:right w:type="dxa" w:w="100"/>
            </w:tcMar>
            <w:vAlign w:val="center"/>
          </w:tcPr>
          <w:p>
            <w:pPr>
              <w:jc w:val="left"/>
            </w:pPr>
            <w:r>
              <w:rPr>
                <w:rFonts w:ascii="Calibri" w:cs="Calibri" w:eastAsia="Calibri" w:hAnsi="Calibri"/>
                <w:b/>
                <w:bCs/>
                <w:color w:val="2D3748"/>
                <w:sz w:val="19"/>
                <w:szCs w:val="19"/>
              </w:rPr>
              <w:t xml:space="preserve">Total cost base</w:t>
            </w:r>
          </w:p>
        </w:tc>
        <w:tc>
          <w:tcPr>
            <w:tcW w:type="dxa" w:w="1650"/>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413,105</w:t>
            </w:r>
          </w:p>
        </w:tc>
        <w:tc>
          <w:tcPr>
            <w:tcW w:type="dxa" w:w="1650"/>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591,268</w:t>
            </w:r>
          </w:p>
        </w:tc>
        <w:tc>
          <w:tcPr>
            <w:tcW w:type="dxa" w:w="1650"/>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797,211</w:t>
            </w:r>
          </w:p>
        </w:tc>
        <w:tc>
          <w:tcPr>
            <w:tcW w:type="dxa" w:w="1650"/>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1,801,585</w:t>
            </w:r>
          </w:p>
        </w:tc>
      </w:tr>
      <w:tr>
        <w:tc>
          <w:tcPr>
            <w:tcW w:type="dxa" w:w="2760"/>
            <w:shd w:fill="FFFFFF" w:val="clear"/>
            <w:tcMar>
              <w:top w:type="dxa" w:w="80"/>
              <w:left w:type="dxa" w:w="100"/>
              <w:bottom w:type="dxa" w:w="80"/>
              <w:right w:type="dxa" w:w="100"/>
            </w:tcMar>
            <w:vAlign w:val="center"/>
          </w:tcPr>
          <w:p>
            <w:pPr>
              <w:jc w:val="left"/>
            </w:pPr>
            <w:r>
              <w:rPr>
                <w:rFonts w:ascii="Calibri" w:cs="Calibri" w:eastAsia="Calibri" w:hAnsi="Calibri"/>
                <w:b/>
                <w:bCs/>
                <w:color w:val="2D3748"/>
                <w:sz w:val="19"/>
                <w:szCs w:val="19"/>
              </w:rPr>
              <w:t xml:space="preserve">Proposed project sum (cost + 20% margin)</w:t>
            </w:r>
          </w:p>
        </w:tc>
        <w:tc>
          <w:tcPr>
            <w:tcW w:type="dxa" w:w="1650"/>
            <w:shd w:fill="FFFF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495,726</w:t>
            </w:r>
          </w:p>
        </w:tc>
        <w:tc>
          <w:tcPr>
            <w:tcW w:type="dxa" w:w="1650"/>
            <w:shd w:fill="FFFF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709,521</w:t>
            </w:r>
          </w:p>
        </w:tc>
        <w:tc>
          <w:tcPr>
            <w:tcW w:type="dxa" w:w="1650"/>
            <w:shd w:fill="FFFF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956,654</w:t>
            </w:r>
          </w:p>
        </w:tc>
        <w:tc>
          <w:tcPr>
            <w:tcW w:type="dxa" w:w="1650"/>
            <w:shd w:fill="FFFF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2,161,901</w:t>
            </w:r>
          </w:p>
        </w:tc>
      </w:tr>
    </w:tbl>
    <w:p>
      <w:pPr>
        <w:spacing w:after="80"/>
      </w:pPr>
      <w:r>
        <w:rPr>
          <w:rFonts w:ascii="Calibri" w:cs="Calibri" w:eastAsia="Calibri" w:hAnsi="Calibri"/>
          <w:i/>
          <w:iCs/>
          <w:color w:val="718096"/>
          <w:sz w:val="16"/>
          <w:szCs w:val="16"/>
        </w:rPr>
        <w:t xml:space="preserve">Full derivation of every figure — including sources for each market rate used — is in the accompanying Excel workbook ("GeneralLink Turnkey Costing Model"), which recalculates automatically if any assumption changes.</w:t>
      </w:r>
    </w:p>
    <w:p>
      <w:pPr>
        <w:pStyle w:val="Heading1"/>
        <w:pBdr>
          <w:bottom w:val="single" w:color="0D5A8E" w:sz="6" w:space="4"/>
        </w:pBdr>
        <w:spacing w:after="160" w:before="320"/>
      </w:pPr>
      <w:r>
        <w:rPr>
          <w:rFonts w:ascii="Calibri" w:cs="Calibri" w:eastAsia="Calibri" w:hAnsi="Calibri"/>
          <w:b/>
          <w:bCs/>
          <w:color w:val="0D5A8E"/>
          <w:sz w:val="26"/>
          <w:szCs w:val="26"/>
        </w:rPr>
        <w:t xml:space="preserve">2. Scope of the Turnkey Engagement</w:t>
      </w:r>
    </w:p>
    <w:p>
      <w:pPr>
        <w:pStyle w:val="ListParagraph"/>
        <w:numPr>
          <w:ilvl w:val="0"/>
          <w:numId w:val="2"/>
        </w:numPr>
        <w:spacing w:after="80"/>
      </w:pPr>
      <w:r>
        <w:rPr>
          <w:rFonts w:ascii="Calibri" w:cs="Calibri" w:eastAsia="Calibri" w:hAnsi="Calibri"/>
          <w:color w:val="2D3748"/>
          <w:sz w:val="20"/>
          <w:szCs w:val="20"/>
        </w:rPr>
        <w:t xml:space="preserve">Ongoing development, maintenance and enhancement of the GeneralLink Laravel/PHP platform per the current master specification.</w:t>
      </w:r>
    </w:p>
    <w:p>
      <w:pPr>
        <w:pStyle w:val="ListParagraph"/>
        <w:numPr>
          <w:ilvl w:val="0"/>
          <w:numId w:val="2"/>
        </w:numPr>
        <w:spacing w:after="80"/>
      </w:pPr>
      <w:r>
        <w:rPr>
          <w:rFonts w:ascii="Calibri" w:cs="Calibri" w:eastAsia="Calibri" w:hAnsi="Calibri"/>
          <w:color w:val="2D3748"/>
          <w:sz w:val="20"/>
          <w:szCs w:val="20"/>
        </w:rPr>
        <w:t xml:space="preserve">Vendor and agent onboarding operations, help desk support, and day-to-day platform administration.</w:t>
      </w:r>
    </w:p>
    <w:p>
      <w:pPr>
        <w:pStyle w:val="ListParagraph"/>
        <w:numPr>
          <w:ilvl w:val="0"/>
          <w:numId w:val="2"/>
        </w:numPr>
        <w:spacing w:after="80"/>
      </w:pPr>
      <w:r>
        <w:rPr>
          <w:rFonts w:ascii="Calibri" w:cs="Calibri" w:eastAsia="Calibri" w:hAnsi="Calibri"/>
          <w:color w:val="2D3748"/>
          <w:sz w:val="20"/>
          <w:szCs w:val="20"/>
        </w:rPr>
        <w:t xml:space="preserve">Hosting, infrastructure, backups, and security for a live production environment plus a separate test/staging environment.</w:t>
      </w:r>
    </w:p>
    <w:p>
      <w:pPr>
        <w:pStyle w:val="ListParagraph"/>
        <w:numPr>
          <w:ilvl w:val="0"/>
          <w:numId w:val="2"/>
        </w:numPr>
        <w:spacing w:after="80"/>
      </w:pPr>
      <w:r>
        <w:rPr>
          <w:rFonts w:ascii="Calibri" w:cs="Calibri" w:eastAsia="Calibri" w:hAnsi="Calibri"/>
          <w:color w:val="2D3748"/>
          <w:sz w:val="20"/>
          <w:szCs w:val="20"/>
        </w:rPr>
        <w:t xml:space="preserve">AI assistant ("Carolyn"), voice, and WhatsApp/communication features kept running and scaled with usage.</w:t>
      </w:r>
    </w:p>
    <w:p>
      <w:pPr>
        <w:pStyle w:val="ListParagraph"/>
        <w:numPr>
          <w:ilvl w:val="0"/>
          <w:numId w:val="2"/>
        </w:numPr>
        <w:spacing w:after="80"/>
      </w:pPr>
      <w:r>
        <w:rPr>
          <w:rFonts w:ascii="Calibri" w:cs="Calibri" w:eastAsia="Calibri" w:hAnsi="Calibri"/>
          <w:color w:val="2D3748"/>
          <w:sz w:val="20"/>
          <w:szCs w:val="20"/>
        </w:rPr>
        <w:t xml:space="preserve">Company-side administration: bookkeeping, statutory compliance, office operations.</w:t>
      </w:r>
    </w:p>
    <w:p>
      <w:pPr>
        <w:pStyle w:val="ListParagraph"/>
        <w:numPr>
          <w:ilvl w:val="0"/>
          <w:numId w:val="2"/>
        </w:numPr>
        <w:spacing w:after="80"/>
      </w:pPr>
      <w:r>
        <w:rPr>
          <w:rFonts w:ascii="Calibri" w:cs="Calibri" w:eastAsia="Calibri" w:hAnsi="Calibri"/>
          <w:color w:val="2D3748"/>
          <w:sz w:val="20"/>
          <w:szCs w:val="20"/>
        </w:rPr>
        <w:t xml:space="preserve">Unlimited registered users — capacity is added in transparent 10,000-user increments rather than a hard cap.</w:t>
      </w:r>
    </w:p>
    <w:p>
      <w:pPr>
        <w:pStyle w:val="Heading1"/>
        <w:pBdr>
          <w:bottom w:val="single" w:color="0D5A8E" w:sz="6" w:space="4"/>
        </w:pBdr>
        <w:spacing w:after="160" w:before="320"/>
      </w:pPr>
      <w:r>
        <w:rPr>
          <w:rFonts w:ascii="Calibri" w:cs="Calibri" w:eastAsia="Calibri" w:hAnsi="Calibri"/>
          <w:b/>
          <w:bCs/>
          <w:color w:val="0D5A8E"/>
          <w:sz w:val="26"/>
          <w:szCs w:val="26"/>
        </w:rPr>
        <w:t xml:space="preserve">3. Proposed Team Structure</w:t>
      </w:r>
    </w:p>
    <w:p>
      <w:pPr>
        <w:spacing w:after="140"/>
      </w:pPr>
      <w:r>
        <w:rPr>
          <w:rFonts w:ascii="Calibri" w:cs="Calibri" w:eastAsia="Calibri" w:hAnsi="Calibri"/>
          <w:color w:val="2D3748"/>
          <w:sz w:val="20"/>
          <w:szCs w:val="20"/>
        </w:rPr>
        <w:t xml:space="preserve">A lean team in Year 1, scaling headcount as the user base and transaction volume grow. Figures below are the fully-loaded employer cost — salary plus EPF, SOCSO, EIS, a one-month bonus provision, and group medical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425"/>
        <w:gridCol w:w="1425"/>
        <w:gridCol w:w="1425"/>
        <w:gridCol w:w="1425"/>
      </w:tblGrid>
      <w:tr>
        <w:trPr>
          <w:tblHeader/>
        </w:trPr>
        <w:tc>
          <w:tcPr>
            <w:tcW w:type="dxa" w:w="366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1 HC</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2 HC</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3 HC</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Monthly Salary/head</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Project Lead / Founder</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10,000</w:t>
            </w:r>
          </w:p>
        </w:tc>
      </w:tr>
      <w:tr>
        <w:tc>
          <w:tcPr>
            <w:tcW w:type="dxa" w:w="36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Full-Stack Developer (Laravel/PHP)</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2</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3</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6,500</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Customer Support &amp; Vendor/Agent Relations Officer</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2</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3</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3,000</w:t>
            </w:r>
          </w:p>
        </w:tc>
      </w:tr>
      <w:tr>
        <w:tc>
          <w:tcPr>
            <w:tcW w:type="dxa" w:w="36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Admin / Finance Executive</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0.5</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3,600</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DevOps / Security Consultant (retainer)</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0</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0.25</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0.5</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5,000</w:t>
            </w:r>
          </w:p>
        </w:tc>
      </w:tr>
      <w:tr>
        <w:tc>
          <w:tcPr>
            <w:tcW w:type="dxa" w:w="36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Total headcount (FTE)</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3.5</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6.25</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8.5</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
            </w:r>
          </w:p>
        </w:tc>
      </w:tr>
    </w:tbl>
    <w:p>
      <w:pPr>
        <w:spacing w:after="80"/>
      </w:pPr>
      <w:r>
        <w:rPr>
          <w:rFonts w:ascii="Calibri" w:cs="Calibri" w:eastAsia="Calibri" w:hAnsi="Calibri"/>
          <w:i/>
          <w:iCs/>
          <w:color w:val="718096"/>
          <w:sz w:val="16"/>
          <w:szCs w:val="16"/>
        </w:rPr>
        <w:t xml:space="preserve">Support and developer headcount is the main lever as the user base grows — see Section 5's scaling model for the ratio used (1 additional support hire per 10,000 active users).</w:t>
      </w:r>
    </w:p>
    <w:p>
      <w:pPr>
        <w:pStyle w:val="Heading1"/>
        <w:pBdr>
          <w:bottom w:val="single" w:color="0D5A8E" w:sz="6" w:space="4"/>
        </w:pBdr>
        <w:spacing w:after="160" w:before="320"/>
      </w:pPr>
      <w:r>
        <w:rPr>
          <w:rFonts w:ascii="Calibri" w:cs="Calibri" w:eastAsia="Calibri" w:hAnsi="Calibri"/>
          <w:b/>
          <w:bCs/>
          <w:color w:val="0D5A8E"/>
          <w:sz w:val="26"/>
          <w:szCs w:val="26"/>
        </w:rPr>
        <w:t xml:space="preserve">4. Ground-Zero Setup (One-Time, Month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tblHeader/>
        </w:trPr>
        <w:tc>
          <w:tcPr>
            <w:tcW w:type="dxa" w:w="702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Item</w:t>
            </w:r>
          </w:p>
        </w:tc>
        <w:tc>
          <w:tcPr>
            <w:tcW w:type="dxa" w:w="234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Amount</w:t>
            </w:r>
          </w:p>
        </w:tc>
      </w:tr>
      <w:tr>
        <w:tc>
          <w:tcPr>
            <w:tcW w:type="dxa" w:w="70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Office rental deposit (2 deposit + 1 advance)</w:t>
            </w:r>
          </w:p>
        </w:tc>
        <w:tc>
          <w:tcPr>
            <w:tcW w:type="dxa" w:w="23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7,500</w:t>
            </w:r>
          </w:p>
        </w:tc>
      </w:tr>
      <w:tr>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Minor office renovation / signage</w:t>
            </w:r>
          </w:p>
        </w:tc>
        <w:tc>
          <w:tcPr>
            <w:tcW w:type="dxa" w:w="23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2,000</w:t>
            </w:r>
          </w:p>
        </w:tc>
      </w:tr>
      <w:tr>
        <w:tc>
          <w:tcPr>
            <w:tcW w:type="dxa" w:w="70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Office furniture — 4 workstations</w:t>
            </w:r>
          </w:p>
        </w:tc>
        <w:tc>
          <w:tcPr>
            <w:tcW w:type="dxa" w:w="23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6,000</w:t>
            </w:r>
          </w:p>
        </w:tc>
      </w:tr>
      <w:tr>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Business laptops (x4)</w:t>
            </w:r>
          </w:p>
        </w:tc>
        <w:tc>
          <w:tcPr>
            <w:tcW w:type="dxa" w:w="23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14,000</w:t>
            </w:r>
          </w:p>
        </w:tc>
      </w:tr>
      <w:tr>
        <w:tc>
          <w:tcPr>
            <w:tcW w:type="dxa" w:w="70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All-in-one printer/scanner</w:t>
            </w:r>
          </w:p>
        </w:tc>
        <w:tc>
          <w:tcPr>
            <w:tcW w:type="dxa" w:w="23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1,200</w:t>
            </w:r>
          </w:p>
        </w:tc>
      </w:tr>
      <w:tr>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Company mobile test device</w:t>
            </w:r>
          </w:p>
        </w:tc>
        <w:tc>
          <w:tcPr>
            <w:tcW w:type="dxa" w:w="23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1,200</w:t>
            </w:r>
          </w:p>
        </w:tc>
      </w:tr>
      <w:tr>
        <w:tc>
          <w:tcPr>
            <w:tcW w:type="dxa" w:w="70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Network setup (router, switch, cabling)</w:t>
            </w:r>
          </w:p>
        </w:tc>
        <w:tc>
          <w:tcPr>
            <w:tcW w:type="dxa" w:w="23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500</w:t>
            </w:r>
          </w:p>
        </w:tc>
      </w:tr>
      <w:tr>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IT security setup (antivirus/firewall/backup, Yr1)</w:t>
            </w:r>
          </w:p>
        </w:tc>
        <w:tc>
          <w:tcPr>
            <w:tcW w:type="dxa" w:w="23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800</w:t>
            </w:r>
          </w:p>
        </w:tc>
      </w:tr>
      <w:tr>
        <w:tc>
          <w:tcPr>
            <w:tcW w:type="dxa" w:w="70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Company registration (SSM Sdn Bhd)</w:t>
            </w:r>
          </w:p>
        </w:tc>
        <w:tc>
          <w:tcPr>
            <w:tcW w:type="dxa" w:w="23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1,500</w:t>
            </w:r>
          </w:p>
        </w:tc>
      </w:tr>
      <w:tr>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Legal — service agreement, SLA &amp; data-protection drafting</w:t>
            </w:r>
          </w:p>
        </w:tc>
        <w:tc>
          <w:tcPr>
            <w:tcW w:type="dxa" w:w="23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3,000</w:t>
            </w:r>
          </w:p>
        </w:tc>
      </w:tr>
      <w:tr>
        <w:tc>
          <w:tcPr>
            <w:tcW w:type="dxa" w:w="702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Domain registration (Year 1)</w:t>
            </w:r>
          </w:p>
        </w:tc>
        <w:tc>
          <w:tcPr>
            <w:tcW w:type="dxa" w:w="23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80</w:t>
            </w:r>
          </w:p>
        </w:tc>
      </w:tr>
      <w:tr>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bCs/>
                <w:color w:val="2D3748"/>
                <w:sz w:val="19"/>
                <w:szCs w:val="19"/>
              </w:rPr>
              <w:t xml:space="preserve">TOTAL GROUND-ZERO SETUP</w:t>
            </w:r>
          </w:p>
        </w:tc>
        <w:tc>
          <w:tcPr>
            <w:tcW w:type="dxa" w:w="2340"/>
            <w:shd w:fill="FFFF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37,780</w:t>
            </w:r>
          </w:p>
        </w:tc>
      </w:tr>
    </w:tbl>
    <w:p>
      <w:pPr>
        <w:pStyle w:val="Heading1"/>
        <w:pBdr>
          <w:bottom w:val="single" w:color="0D5A8E" w:sz="6" w:space="4"/>
        </w:pBdr>
        <w:spacing w:after="160" w:before="320"/>
      </w:pPr>
      <w:r>
        <w:rPr>
          <w:rFonts w:ascii="Calibri" w:cs="Calibri" w:eastAsia="Calibri" w:hAnsi="Calibri"/>
          <w:b/>
          <w:bCs/>
          <w:color w:val="0D5A8E"/>
          <w:sz w:val="26"/>
          <w:szCs w:val="26"/>
        </w:rPr>
        <w:t xml:space="preserve">5. Hosting, Subscriptions, APIs &amp; Overheads</w:t>
      </w:r>
    </w:p>
    <w:p>
      <w:pPr>
        <w:spacing w:after="140"/>
      </w:pPr>
      <w:r>
        <w:rPr>
          <w:rFonts w:ascii="Calibri" w:cs="Calibri" w:eastAsia="Calibri" w:hAnsi="Calibri"/>
          <w:color w:val="2D3748"/>
          <w:sz w:val="20"/>
          <w:szCs w:val="20"/>
        </w:rPr>
        <w:t xml:space="preserve">Recurring technical and office costs, shown as annual totals. These scale automatically with active users in the underlying model — the figures below reflect the Year 1-3 user growth assumed in this proposal (2,500 → 15,000 → 35,000 active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Category</w:t>
            </w:r>
          </w:p>
        </w:tc>
        <w:tc>
          <w:tcPr>
            <w:tcW w:type="dxa" w:w="156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1</w:t>
            </w:r>
          </w:p>
        </w:tc>
        <w:tc>
          <w:tcPr>
            <w:tcW w:type="dxa" w:w="156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2</w:t>
            </w:r>
          </w:p>
        </w:tc>
        <w:tc>
          <w:tcPr>
            <w:tcW w:type="dxa" w:w="156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3</w:t>
            </w:r>
          </w:p>
        </w:tc>
      </w:tr>
      <w:tr>
        <w:tc>
          <w:tcPr>
            <w:tcW w:type="dxa" w:w="468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Hosting, subscriptions &amp; APIs (VPS, AI, WhatsApp, Google Workspace, etc.)</w:t>
            </w:r>
          </w:p>
        </w:tc>
        <w:tc>
          <w:tcPr>
            <w:tcW w:type="dxa" w:w="156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13,646</w:t>
            </w:r>
          </w:p>
        </w:tc>
        <w:tc>
          <w:tcPr>
            <w:tcW w:type="dxa" w:w="156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42,071</w:t>
            </w:r>
          </w:p>
        </w:tc>
        <w:tc>
          <w:tcPr>
            <w:tcW w:type="dxa" w:w="156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87,626</w:t>
            </w:r>
          </w:p>
        </w:tc>
      </w:tr>
      <w:tr>
        <w:tc>
          <w:tcPr>
            <w:tcW w:type="dxa" w:w="4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Office rent, utilities, company secretary, accounting, insurance</w:t>
            </w:r>
          </w:p>
        </w:tc>
        <w:tc>
          <w:tcPr>
            <w:tcW w:type="dxa" w:w="156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46,100</w:t>
            </w:r>
          </w:p>
        </w:tc>
        <w:tc>
          <w:tcPr>
            <w:tcW w:type="dxa" w:w="156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46,100</w:t>
            </w:r>
          </w:p>
        </w:tc>
        <w:tc>
          <w:tcPr>
            <w:tcW w:type="dxa" w:w="156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46,100</w:t>
            </w:r>
          </w:p>
        </w:tc>
      </w:tr>
    </w:tbl>
    <w:p>
      <w:pPr>
        <w:spacing w:after="80"/>
      </w:pPr>
      <w:r>
        <w:rPr>
          <w:rFonts w:ascii="Calibri" w:cs="Calibri" w:eastAsia="Calibri" w:hAnsi="Calibri"/>
          <w:i/>
          <w:iCs/>
          <w:color w:val="718096"/>
          <w:sz w:val="16"/>
          <w:szCs w:val="16"/>
        </w:rPr>
        <w:t xml:space="preserve">MySQL (database engine) is Community Edition — free and open-source at any scale, no licence fee. SSL certificates are free via Let's Encrypt.</w:t>
      </w:r>
    </w:p>
    <w:p>
      <w:pPr>
        <w:spacing w:after="100" w:before="200"/>
      </w:pPr>
      <w:r>
        <w:rPr>
          <w:rFonts w:ascii="Calibri" w:cs="Calibri" w:eastAsia="Calibri" w:hAnsi="Calibri"/>
          <w:b/>
          <w:bCs/>
          <w:color w:val="1B9AE4"/>
          <w:sz w:val="22"/>
          <w:szCs w:val="22"/>
        </w:rPr>
        <w:t xml:space="preserve">Cost to Serve — Scaling by User Tier</w:t>
      </w:r>
    </w:p>
    <w:p>
      <w:pPr>
        <w:spacing w:after="140"/>
      </w:pPr>
      <w:r>
        <w:rPr>
          <w:rFonts w:ascii="Calibri" w:cs="Calibri" w:eastAsia="Calibri" w:hAnsi="Calibri"/>
          <w:color w:val="2D3748"/>
          <w:sz w:val="20"/>
          <w:szCs w:val="20"/>
        </w:rPr>
        <w:t xml:space="preserve">Per Chris's brief: illustrative monthly cost to serve at each user tier, scaling in blocks of 10,000 users. This is the transparent basis for handling "unlimited users" without renegotiating the whole contract at every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500"/>
        <w:gridCol w:w="1300"/>
        <w:gridCol w:w="1000"/>
        <w:gridCol w:w="1700"/>
        <w:gridCol w:w="1000"/>
      </w:tblGrid>
      <w:tr>
        <w:trPr>
          <w:tblHeader/>
        </w:trPr>
        <w:tc>
          <w:tcPr>
            <w:tcW w:type="dxa" w:w="156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Active Users</w:t>
            </w:r>
          </w:p>
        </w:tc>
        <w:tc>
          <w:tcPr>
            <w:tcW w:type="dxa" w:w="130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Hosting/mo</w:t>
            </w:r>
          </w:p>
        </w:tc>
        <w:tc>
          <w:tcPr>
            <w:tcW w:type="dxa" w:w="150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AI Assistant/mo</w:t>
            </w:r>
          </w:p>
        </w:tc>
        <w:tc>
          <w:tcPr>
            <w:tcW w:type="dxa" w:w="130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WhatsApp/mo</w:t>
            </w:r>
          </w:p>
        </w:tc>
        <w:tc>
          <w:tcPr>
            <w:tcW w:type="dxa" w:w="100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Support HC</w:t>
            </w:r>
          </w:p>
        </w:tc>
        <w:tc>
          <w:tcPr>
            <w:tcW w:type="dxa" w:w="170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Total Cost to Serve/mo</w:t>
            </w:r>
          </w:p>
        </w:tc>
        <w:tc>
          <w:tcPr>
            <w:tcW w:type="dxa" w:w="100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Cost / User</w:t>
            </w:r>
          </w:p>
        </w:tc>
      </w:tr>
      <w:tr>
        <w:tc>
          <w:tcPr>
            <w:tcW w:type="dxa" w:w="15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1,000</w:t>
            </w:r>
          </w:p>
        </w:tc>
        <w:tc>
          <w:tcPr>
            <w:tcW w:type="dxa" w:w="13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113</w:t>
            </w:r>
          </w:p>
        </w:tc>
        <w:tc>
          <w:tcPr>
            <w:tcW w:type="dxa" w:w="15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112</w:t>
            </w:r>
          </w:p>
        </w:tc>
        <w:tc>
          <w:tcPr>
            <w:tcW w:type="dxa" w:w="13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360</w:t>
            </w:r>
          </w:p>
        </w:tc>
        <w:tc>
          <w:tcPr>
            <w:tcW w:type="dxa" w:w="10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7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4,367</w:t>
            </w:r>
          </w:p>
        </w:tc>
        <w:tc>
          <w:tcPr>
            <w:tcW w:type="dxa" w:w="10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4.37</w:t>
            </w:r>
          </w:p>
        </w:tc>
      </w:tr>
      <w:tr>
        <w:tc>
          <w:tcPr>
            <w:tcW w:type="dxa" w:w="15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10,000</w:t>
            </w:r>
          </w:p>
        </w:tc>
        <w:tc>
          <w:tcPr>
            <w:tcW w:type="dxa" w:w="13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113</w:t>
            </w:r>
          </w:p>
        </w:tc>
        <w:tc>
          <w:tcPr>
            <w:tcW w:type="dxa" w:w="1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1,120</w:t>
            </w:r>
          </w:p>
        </w:tc>
        <w:tc>
          <w:tcPr>
            <w:tcW w:type="dxa" w:w="13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900</w:t>
            </w:r>
          </w:p>
        </w:tc>
        <w:tc>
          <w:tcPr>
            <w:tcW w:type="dxa" w:w="10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w:t>
            </w:r>
          </w:p>
        </w:tc>
        <w:tc>
          <w:tcPr>
            <w:tcW w:type="dxa" w:w="1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5,915</w:t>
            </w:r>
          </w:p>
        </w:tc>
        <w:tc>
          <w:tcPr>
            <w:tcW w:type="dxa" w:w="10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0.59</w:t>
            </w:r>
          </w:p>
        </w:tc>
      </w:tr>
      <w:tr>
        <w:tc>
          <w:tcPr>
            <w:tcW w:type="dxa" w:w="15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20,000</w:t>
            </w:r>
          </w:p>
        </w:tc>
        <w:tc>
          <w:tcPr>
            <w:tcW w:type="dxa" w:w="13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263</w:t>
            </w:r>
          </w:p>
        </w:tc>
        <w:tc>
          <w:tcPr>
            <w:tcW w:type="dxa" w:w="15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2,240</w:t>
            </w:r>
          </w:p>
        </w:tc>
        <w:tc>
          <w:tcPr>
            <w:tcW w:type="dxa" w:w="13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1,500</w:t>
            </w:r>
          </w:p>
        </w:tc>
        <w:tc>
          <w:tcPr>
            <w:tcW w:type="dxa" w:w="10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2</w:t>
            </w:r>
          </w:p>
        </w:tc>
        <w:tc>
          <w:tcPr>
            <w:tcW w:type="dxa" w:w="17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11,567</w:t>
            </w:r>
          </w:p>
        </w:tc>
        <w:tc>
          <w:tcPr>
            <w:tcW w:type="dxa" w:w="10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0.58</w:t>
            </w:r>
          </w:p>
        </w:tc>
      </w:tr>
      <w:tr>
        <w:tc>
          <w:tcPr>
            <w:tcW w:type="dxa" w:w="15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30,000</w:t>
            </w:r>
          </w:p>
        </w:tc>
        <w:tc>
          <w:tcPr>
            <w:tcW w:type="dxa" w:w="13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413</w:t>
            </w:r>
          </w:p>
        </w:tc>
        <w:tc>
          <w:tcPr>
            <w:tcW w:type="dxa" w:w="1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3,360</w:t>
            </w:r>
          </w:p>
        </w:tc>
        <w:tc>
          <w:tcPr>
            <w:tcW w:type="dxa" w:w="13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2,100</w:t>
            </w:r>
          </w:p>
        </w:tc>
        <w:tc>
          <w:tcPr>
            <w:tcW w:type="dxa" w:w="10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3</w:t>
            </w:r>
          </w:p>
        </w:tc>
        <w:tc>
          <w:tcPr>
            <w:tcW w:type="dxa" w:w="1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17,219</w:t>
            </w:r>
          </w:p>
        </w:tc>
        <w:tc>
          <w:tcPr>
            <w:tcW w:type="dxa" w:w="10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0.57</w:t>
            </w:r>
          </w:p>
        </w:tc>
      </w:tr>
      <w:tr>
        <w:tc>
          <w:tcPr>
            <w:tcW w:type="dxa" w:w="15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50,000</w:t>
            </w:r>
          </w:p>
        </w:tc>
        <w:tc>
          <w:tcPr>
            <w:tcW w:type="dxa" w:w="13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713</w:t>
            </w:r>
          </w:p>
        </w:tc>
        <w:tc>
          <w:tcPr>
            <w:tcW w:type="dxa" w:w="15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5,600</w:t>
            </w:r>
          </w:p>
        </w:tc>
        <w:tc>
          <w:tcPr>
            <w:tcW w:type="dxa" w:w="13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3,300</w:t>
            </w:r>
          </w:p>
        </w:tc>
        <w:tc>
          <w:tcPr>
            <w:tcW w:type="dxa" w:w="10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5</w:t>
            </w:r>
          </w:p>
        </w:tc>
        <w:tc>
          <w:tcPr>
            <w:tcW w:type="dxa" w:w="17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28,522</w:t>
            </w:r>
          </w:p>
        </w:tc>
        <w:tc>
          <w:tcPr>
            <w:tcW w:type="dxa" w:w="100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0.57</w:t>
            </w:r>
          </w:p>
        </w:tc>
      </w:tr>
      <w:tr>
        <w:tc>
          <w:tcPr>
            <w:tcW w:type="dxa" w:w="15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100,000</w:t>
            </w:r>
          </w:p>
        </w:tc>
        <w:tc>
          <w:tcPr>
            <w:tcW w:type="dxa" w:w="13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1,463</w:t>
            </w:r>
          </w:p>
        </w:tc>
        <w:tc>
          <w:tcPr>
            <w:tcW w:type="dxa" w:w="15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11,200</w:t>
            </w:r>
          </w:p>
        </w:tc>
        <w:tc>
          <w:tcPr>
            <w:tcW w:type="dxa" w:w="13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6,300</w:t>
            </w:r>
          </w:p>
        </w:tc>
        <w:tc>
          <w:tcPr>
            <w:tcW w:type="dxa" w:w="10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10</w:t>
            </w:r>
          </w:p>
        </w:tc>
        <w:tc>
          <w:tcPr>
            <w:tcW w:type="dxa" w:w="1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56,781</w:t>
            </w:r>
          </w:p>
        </w:tc>
        <w:tc>
          <w:tcPr>
            <w:tcW w:type="dxa" w:w="10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0.57</w:t>
            </w:r>
          </w:p>
        </w:tc>
      </w:tr>
    </w:tbl>
    <w:p>
      <w:pPr>
        <w:spacing w:after="80"/>
      </w:pPr>
      <w:r>
        <w:rPr>
          <w:rFonts w:ascii="Calibri" w:cs="Calibri" w:eastAsia="Calibri" w:hAnsi="Calibri"/>
          <w:i/>
          <w:iCs/>
          <w:color w:val="718096"/>
          <w:sz w:val="16"/>
          <w:szCs w:val="16"/>
        </w:rPr>
        <w:t xml:space="preserve">Cost per user falls sharply after the first 10,000 (fixed platform costs are spread over more users) and then stays broadly flat — the marginal user is cheap; the step cost is adding the next support hire.</w:t>
      </w:r>
    </w:p>
    <w:p>
      <w:r>
        <w:br w:type="page"/>
      </w:r>
    </w:p>
    <w:p>
      <w:pPr>
        <w:pStyle w:val="Heading1"/>
        <w:pBdr>
          <w:bottom w:val="single" w:color="0D5A8E" w:sz="6" w:space="4"/>
        </w:pBdr>
        <w:spacing w:after="160" w:before="320"/>
      </w:pPr>
      <w:r>
        <w:rPr>
          <w:rFonts w:ascii="Calibri" w:cs="Calibri" w:eastAsia="Calibri" w:hAnsi="Calibri"/>
          <w:b/>
          <w:bCs/>
          <w:color w:val="0D5A8E"/>
          <w:sz w:val="26"/>
          <w:szCs w:val="26"/>
        </w:rPr>
        <w:t xml:space="preserve">6. 3-Year Cost Summary &amp; Proposed Project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425"/>
        <w:gridCol w:w="1425"/>
        <w:gridCol w:w="1425"/>
        <w:gridCol w:w="1425"/>
      </w:tblGrid>
      <w:tr>
        <w:trPr>
          <w:tblHeader/>
        </w:trPr>
        <w:tc>
          <w:tcPr>
            <w:tcW w:type="dxa" w:w="366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Cost Category</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1</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2</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3</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3-Year Total</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Ground-zero setup (one-time)</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37,780</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0</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0</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37,780</w:t>
            </w:r>
          </w:p>
        </w:tc>
      </w:tr>
      <w:tr>
        <w:tc>
          <w:tcPr>
            <w:tcW w:type="dxa" w:w="36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Team &amp; payroll (fully-loaded)</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315,579</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503,097</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663,485</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1,482,161</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Hosting, subscriptions &amp; APIs</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13,646</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42,071</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87,626</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143,343</w:t>
            </w:r>
          </w:p>
        </w:tc>
      </w:tr>
      <w:tr>
        <w:tc>
          <w:tcPr>
            <w:tcW w:type="dxa" w:w="36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Office &amp; admin overheads</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46,100</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46,100</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46,100</w:t>
            </w:r>
          </w:p>
        </w:tc>
        <w:tc>
          <w:tcPr>
            <w:tcW w:type="dxa" w:w="1425"/>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138,300</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bCs/>
                <w:color w:val="2D3748"/>
                <w:sz w:val="19"/>
                <w:szCs w:val="19"/>
              </w:rPr>
              <w:t xml:space="preserve">TOTAL COST BASE</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413,105</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591,268</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797,211</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1,801,585</w:t>
            </w:r>
          </w:p>
        </w:tc>
      </w:tr>
    </w:tbl>
    <w:p>
      <w:pPr>
        <w:spacing w:after="100" w:before="200"/>
      </w:pPr>
      <w:r>
        <w:rPr>
          <w:rFonts w:ascii="Calibri" w:cs="Calibri" w:eastAsia="Calibri" w:hAnsi="Calibri"/>
          <w:color w:val="2D3748"/>
          <w:sz w:val="20"/>
          <w:szCs w:val="20"/>
        </w:rPr>
        <w:t xml:space="preserve">Margin: 20% on cost base (covers project management, business risk and profit — adjustable).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425"/>
        <w:gridCol w:w="1425"/>
        <w:gridCol w:w="1425"/>
        <w:gridCol w:w="1425"/>
      </w:tblGrid>
      <w:tr>
        <w:trPr>
          <w:tblHeader/>
        </w:trPr>
        <w:tc>
          <w:tcPr>
            <w:tcW w:type="dxa" w:w="366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1</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2</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Year 3</w:t>
            </w:r>
          </w:p>
        </w:tc>
        <w:tc>
          <w:tcPr>
            <w:tcW w:type="dxa" w:w="1425"/>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3-Year Total</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bCs/>
                <w:color w:val="2D3748"/>
                <w:sz w:val="19"/>
                <w:szCs w:val="19"/>
              </w:rPr>
              <w:t xml:space="preserve">PROPOSED PROJECT SUM</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495,726</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709,521</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956,654</w:t>
            </w:r>
          </w:p>
        </w:tc>
        <w:tc>
          <w:tcPr>
            <w:tcW w:type="dxa" w:w="1425"/>
            <w:shd w:fill="F7FDFF" w:val="clear"/>
            <w:tcMar>
              <w:top w:type="dxa" w:w="80"/>
              <w:left w:type="dxa" w:w="100"/>
              <w:bottom w:type="dxa" w:w="80"/>
              <w:right w:type="dxa" w:w="100"/>
            </w:tcMar>
            <w:vAlign w:val="center"/>
          </w:tcPr>
          <w:p>
            <w:pPr>
              <w:jc w:val="center"/>
            </w:pPr>
            <w:r>
              <w:rPr>
                <w:rFonts w:ascii="Calibri" w:cs="Calibri" w:eastAsia="Calibri" w:hAnsi="Calibri"/>
                <w:b/>
                <w:bCs/>
                <w:color w:val="2D3748"/>
                <w:sz w:val="19"/>
                <w:szCs w:val="19"/>
              </w:rPr>
              <w:t xml:space="preserve">RM 2,161,901</w:t>
            </w:r>
          </w:p>
        </w:tc>
      </w:tr>
    </w:tbl>
    <w:p>
      <w:pPr>
        <w:shd w:fill="38A169" w:val="clear"/>
        <w:spacing w:after="200" w:before="260"/>
        <w:jc w:val="center"/>
      </w:pPr>
      <w:r>
        <w:rPr>
          <w:rFonts w:ascii="Calibri" w:cs="Calibri" w:eastAsia="Calibri" w:hAnsi="Calibri"/>
          <w:b/>
          <w:bCs/>
          <w:color w:val="FFFFFF"/>
          <w:sz w:val="26"/>
          <w:szCs w:val="26"/>
        </w:rPr>
        <w:t xml:space="preserve">TOTAL 3-YEAR PROPOSED PROJECT SUM:  RM 2,161,901</w:t>
      </w:r>
    </w:p>
    <w:p>
      <w:pPr>
        <w:spacing w:after="100" w:before="200"/>
      </w:pPr>
      <w:r>
        <w:rPr>
          <w:rFonts w:ascii="Calibri" w:cs="Calibri" w:eastAsia="Calibri" w:hAnsi="Calibri"/>
          <w:b/>
          <w:bCs/>
          <w:color w:val="1B9AE4"/>
          <w:sz w:val="22"/>
          <w:szCs w:val="22"/>
        </w:rPr>
        <w:t xml:space="preserve">Suggested Payment / Retainer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3960"/>
        <w:gridCol w:w="1740"/>
      </w:tblGrid>
      <w:tr>
        <w:trPr>
          <w:tblHeader/>
        </w:trPr>
        <w:tc>
          <w:tcPr>
            <w:tcW w:type="dxa" w:w="3660"/>
            <w:shd w:fill="0D5A8E"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Milestone</w:t>
            </w:r>
          </w:p>
        </w:tc>
        <w:tc>
          <w:tcPr>
            <w:tcW w:type="dxa" w:w="396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Timing</w:t>
            </w:r>
          </w:p>
        </w:tc>
        <w:tc>
          <w:tcPr>
            <w:tcW w:type="dxa" w:w="1740"/>
            <w:shd w:fill="0D5A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Amount</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Year 1 — mobilisation payment (40%)</w:t>
            </w:r>
          </w:p>
        </w:tc>
        <w:tc>
          <w:tcPr>
            <w:tcW w:type="dxa" w:w="396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On signing — covers ground-zero setup + Month 1-2 ops</w:t>
            </w:r>
          </w:p>
        </w:tc>
        <w:tc>
          <w:tcPr>
            <w:tcW w:type="dxa" w:w="17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198,290</w:t>
            </w:r>
          </w:p>
        </w:tc>
      </w:tr>
      <w:tr>
        <w:tc>
          <w:tcPr>
            <w:tcW w:type="dxa" w:w="36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Year 1 — progress payment (30%)</w:t>
            </w:r>
          </w:p>
        </w:tc>
        <w:tc>
          <w:tcPr>
            <w:tcW w:type="dxa" w:w="396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Month 6</w:t>
            </w:r>
          </w:p>
        </w:tc>
        <w:tc>
          <w:tcPr>
            <w:tcW w:type="dxa" w:w="17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148,718</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Year 1 — completion payment (30%)</w:t>
            </w:r>
          </w:p>
        </w:tc>
        <w:tc>
          <w:tcPr>
            <w:tcW w:type="dxa" w:w="396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Month 12</w:t>
            </w:r>
          </w:p>
        </w:tc>
        <w:tc>
          <w:tcPr>
            <w:tcW w:type="dxa" w:w="17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148,718</w:t>
            </w:r>
          </w:p>
        </w:tc>
      </w:tr>
      <w:tr>
        <w:tc>
          <w:tcPr>
            <w:tcW w:type="dxa" w:w="36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Year 2 — monthly retainer</w:t>
            </w:r>
          </w:p>
        </w:tc>
        <w:tc>
          <w:tcPr>
            <w:tcW w:type="dxa" w:w="396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Billed monthly in advance</w:t>
            </w:r>
          </w:p>
        </w:tc>
        <w:tc>
          <w:tcPr>
            <w:tcW w:type="dxa" w:w="174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59,127/mo</w:t>
            </w:r>
          </w:p>
        </w:tc>
      </w:tr>
      <w:tr>
        <w:tc>
          <w:tcPr>
            <w:tcW w:type="dxa" w:w="3660"/>
            <w:shd w:fill="F7FDFF" w:val="clear"/>
            <w:tcMar>
              <w:top w:type="dxa" w:w="80"/>
              <w:left w:type="dxa" w:w="100"/>
              <w:bottom w:type="dxa" w:w="80"/>
              <w:right w:type="dxa" w:w="100"/>
            </w:tcMar>
            <w:vAlign w:val="center"/>
          </w:tcPr>
          <w:p>
            <w:pPr>
              <w:jc w:val="left"/>
            </w:pPr>
            <w:r>
              <w:rPr>
                <w:rFonts w:ascii="Calibri" w:cs="Calibri" w:eastAsia="Calibri" w:hAnsi="Calibri"/>
                <w:b w:val="false"/>
                <w:bCs w:val="false"/>
                <w:color w:val="2D3748"/>
                <w:sz w:val="19"/>
                <w:szCs w:val="19"/>
              </w:rPr>
              <w:t xml:space="preserve">Year 3 — monthly retainer</w:t>
            </w:r>
          </w:p>
        </w:tc>
        <w:tc>
          <w:tcPr>
            <w:tcW w:type="dxa" w:w="396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Billed monthly in advance</w:t>
            </w:r>
          </w:p>
        </w:tc>
        <w:tc>
          <w:tcPr>
            <w:tcW w:type="dxa" w:w="1740"/>
            <w:shd w:fill="F7FDFF" w:val="clear"/>
            <w:tcMar>
              <w:top w:type="dxa" w:w="80"/>
              <w:left w:type="dxa" w:w="100"/>
              <w:bottom w:type="dxa" w:w="80"/>
              <w:right w:type="dxa" w:w="100"/>
            </w:tcMar>
            <w:vAlign w:val="center"/>
          </w:tcPr>
          <w:p>
            <w:pPr>
              <w:jc w:val="center"/>
            </w:pPr>
            <w:r>
              <w:rPr>
                <w:rFonts w:ascii="Calibri" w:cs="Calibri" w:eastAsia="Calibri" w:hAnsi="Calibri"/>
                <w:b w:val="false"/>
                <w:bCs w:val="false"/>
                <w:color w:val="2D3748"/>
                <w:sz w:val="19"/>
                <w:szCs w:val="19"/>
              </w:rPr>
              <w:t xml:space="preserve">RM 79,721/mo</w:t>
            </w:r>
          </w:p>
        </w:tc>
      </w:tr>
    </w:tbl>
    <w:p>
      <w:pPr>
        <w:pStyle w:val="Heading1"/>
        <w:pBdr>
          <w:bottom w:val="single" w:color="0D5A8E" w:sz="6" w:space="4"/>
        </w:pBdr>
        <w:spacing w:after="160" w:before="320"/>
      </w:pPr>
      <w:r>
        <w:rPr>
          <w:rFonts w:ascii="Calibri" w:cs="Calibri" w:eastAsia="Calibri" w:hAnsi="Calibri"/>
          <w:b/>
          <w:bCs/>
          <w:color w:val="0D5A8E"/>
          <w:sz w:val="26"/>
          <w:szCs w:val="26"/>
        </w:rPr>
        <w:t xml:space="preserve">7. Key Assumptions, Sources &amp; Exclusions</w:t>
      </w:r>
    </w:p>
    <w:p>
      <w:pPr>
        <w:spacing w:after="100" w:before="200"/>
      </w:pPr>
      <w:r>
        <w:rPr>
          <w:rFonts w:ascii="Calibri" w:cs="Calibri" w:eastAsia="Calibri" w:hAnsi="Calibri"/>
          <w:b/>
          <w:bCs/>
          <w:color w:val="1B9AE4"/>
          <w:sz w:val="22"/>
          <w:szCs w:val="22"/>
        </w:rPr>
        <w:t xml:space="preserve">Assumptions used</w:t>
      </w:r>
    </w:p>
    <w:p>
      <w:pPr>
        <w:pStyle w:val="ListParagraph"/>
        <w:numPr>
          <w:ilvl w:val="0"/>
          <w:numId w:val="2"/>
        </w:numPr>
        <w:spacing w:after="80"/>
      </w:pPr>
      <w:r>
        <w:rPr>
          <w:rFonts w:ascii="Calibri" w:cs="Calibri" w:eastAsia="Calibri" w:hAnsi="Calibri"/>
          <w:color w:val="2D3748"/>
          <w:sz w:val="20"/>
          <w:szCs w:val="20"/>
        </w:rPr>
        <w:t xml:space="preserve">EPF 13%/12%, SOCSO 1.75%, EIS 0.2% employer contributions — Malaysia statutory rates, 2026.</w:t>
      </w:r>
    </w:p>
    <w:p>
      <w:pPr>
        <w:pStyle w:val="ListParagraph"/>
        <w:numPr>
          <w:ilvl w:val="0"/>
          <w:numId w:val="2"/>
        </w:numPr>
        <w:spacing w:after="80"/>
      </w:pPr>
      <w:r>
        <w:rPr>
          <w:rFonts w:ascii="Calibri" w:cs="Calibri" w:eastAsia="Calibri" w:hAnsi="Calibri"/>
          <w:color w:val="2D3748"/>
          <w:sz w:val="20"/>
          <w:szCs w:val="20"/>
        </w:rPr>
        <w:t xml:space="preserve">Group medical insurance estimated at RM1,000/employee/year — confirm with an insurance broker (Allianz/AIA SME plans) before final pricing.</w:t>
      </w:r>
    </w:p>
    <w:p>
      <w:pPr>
        <w:pStyle w:val="ListParagraph"/>
        <w:numPr>
          <w:ilvl w:val="0"/>
          <w:numId w:val="2"/>
        </w:numPr>
        <w:spacing w:after="80"/>
      </w:pPr>
      <w:r>
        <w:rPr>
          <w:rFonts w:ascii="Calibri" w:cs="Calibri" w:eastAsia="Calibri" w:hAnsi="Calibri"/>
          <w:color w:val="2D3748"/>
          <w:sz w:val="20"/>
          <w:szCs w:val="20"/>
        </w:rPr>
        <w:t xml:space="preserve">Office: small private/serviced office in the Klang Valley at an estimated RM2,500/month.</w:t>
      </w:r>
    </w:p>
    <w:p>
      <w:pPr>
        <w:pStyle w:val="ListParagraph"/>
        <w:numPr>
          <w:ilvl w:val="0"/>
          <w:numId w:val="2"/>
        </w:numPr>
        <w:spacing w:after="80"/>
      </w:pPr>
      <w:r>
        <w:rPr>
          <w:rFonts w:ascii="Calibri" w:cs="Calibri" w:eastAsia="Calibri" w:hAnsi="Calibri"/>
          <w:color w:val="2D3748"/>
          <w:sz w:val="20"/>
          <w:szCs w:val="20"/>
        </w:rPr>
        <w:t xml:space="preserve">Hosting: DigitalOcean 4GB/2vCPU Droplet (Singapore data centre), quoted 14 August 2026, stepping up per additional 10,000-user tier.</w:t>
      </w:r>
    </w:p>
    <w:p>
      <w:pPr>
        <w:pStyle w:val="ListParagraph"/>
        <w:numPr>
          <w:ilvl w:val="0"/>
          <w:numId w:val="2"/>
        </w:numPr>
        <w:spacing w:after="80"/>
      </w:pPr>
      <w:r>
        <w:rPr>
          <w:rFonts w:ascii="Calibri" w:cs="Calibri" w:eastAsia="Calibri" w:hAnsi="Calibri"/>
          <w:color w:val="2D3748"/>
          <w:sz w:val="20"/>
          <w:szCs w:val="20"/>
        </w:rPr>
        <w:t xml:space="preserve">Claude AI (Carolyn assistant) costed at a blended Anthropic Sonnet rate, usage estimated at 2 interactions/user/month.</w:t>
      </w:r>
    </w:p>
    <w:p>
      <w:pPr>
        <w:pStyle w:val="ListParagraph"/>
        <w:numPr>
          <w:ilvl w:val="0"/>
          <w:numId w:val="2"/>
        </w:numPr>
        <w:spacing w:after="80"/>
      </w:pPr>
      <w:r>
        <w:rPr>
          <w:rFonts w:ascii="Calibri" w:cs="Calibri" w:eastAsia="Calibri" w:hAnsi="Calibri"/>
          <w:color w:val="2D3748"/>
          <w:sz w:val="20"/>
          <w:szCs w:val="20"/>
        </w:rPr>
        <w:t xml:space="preserve">WhatsApp Business API costed at Meta's 2026 Malaysia utility-message rate plus a typical BSP platform fee.</w:t>
      </w:r>
    </w:p>
    <w:p>
      <w:pPr>
        <w:pStyle w:val="ListParagraph"/>
        <w:numPr>
          <w:ilvl w:val="0"/>
          <w:numId w:val="2"/>
        </w:numPr>
        <w:spacing w:after="80"/>
      </w:pPr>
      <w:r>
        <w:rPr>
          <w:rFonts w:ascii="Calibri" w:cs="Calibri" w:eastAsia="Calibri" w:hAnsi="Calibri"/>
          <w:color w:val="2D3748"/>
          <w:sz w:val="20"/>
          <w:szCs w:val="20"/>
        </w:rPr>
        <w:t xml:space="preserve">Active-user ramp assumed at 2,500 (end Y1) → 15,000 (end Y2) → 35,000 (end Y3) — adjust to the client's actual go-to-market plan.</w:t>
      </w:r>
    </w:p>
    <w:p>
      <w:pPr>
        <w:pStyle w:val="ListParagraph"/>
        <w:numPr>
          <w:ilvl w:val="0"/>
          <w:numId w:val="2"/>
        </w:numPr>
        <w:spacing w:after="80"/>
      </w:pPr>
      <w:r>
        <w:rPr>
          <w:rFonts w:ascii="Calibri" w:cs="Calibri" w:eastAsia="Calibri" w:hAnsi="Calibri"/>
          <w:color w:val="2D3748"/>
          <w:sz w:val="20"/>
          <w:szCs w:val="20"/>
        </w:rPr>
        <w:t xml:space="preserve">Starting monthly platform sales volume assumed at RM10,000, per instruction, as the actual figure was not yet known.</w:t>
      </w:r>
    </w:p>
    <w:p>
      <w:pPr>
        <w:spacing w:after="100" w:before="200"/>
      </w:pPr>
      <w:r>
        <w:rPr>
          <w:rFonts w:ascii="Calibri" w:cs="Calibri" w:eastAsia="Calibri" w:hAnsi="Calibri"/>
          <w:b/>
          <w:bCs/>
          <w:color w:val="1B9AE4"/>
          <w:sz w:val="22"/>
          <w:szCs w:val="22"/>
        </w:rPr>
        <w:t xml:space="preserve">Excluded from this proposal</w:t>
      </w:r>
    </w:p>
    <w:p>
      <w:pPr>
        <w:pStyle w:val="ListParagraph"/>
        <w:numPr>
          <w:ilvl w:val="0"/>
          <w:numId w:val="2"/>
        </w:numPr>
        <w:spacing w:after="80"/>
      </w:pPr>
      <w:r>
        <w:rPr>
          <w:rFonts w:ascii="Calibri" w:cs="Calibri" w:eastAsia="Calibri" w:hAnsi="Calibri"/>
          <w:color w:val="2D3748"/>
          <w:sz w:val="20"/>
          <w:szCs w:val="20"/>
        </w:rPr>
        <w:t xml:space="preserve">Payment gateway / merchant processing fees — add once a gateway is selected.</w:t>
      </w:r>
    </w:p>
    <w:p>
      <w:pPr>
        <w:pStyle w:val="ListParagraph"/>
        <w:numPr>
          <w:ilvl w:val="0"/>
          <w:numId w:val="2"/>
        </w:numPr>
        <w:spacing w:after="80"/>
      </w:pPr>
      <w:r>
        <w:rPr>
          <w:rFonts w:ascii="Calibri" w:cs="Calibri" w:eastAsia="Calibri" w:hAnsi="Calibri"/>
          <w:color w:val="2D3748"/>
          <w:sz w:val="20"/>
          <w:szCs w:val="20"/>
        </w:rPr>
        <w:t xml:space="preserve">Paid marketing, advertising, and business-development spend.</w:t>
      </w:r>
    </w:p>
    <w:p>
      <w:pPr>
        <w:pStyle w:val="ListParagraph"/>
        <w:numPr>
          <w:ilvl w:val="0"/>
          <w:numId w:val="2"/>
        </w:numPr>
        <w:spacing w:after="80"/>
      </w:pPr>
      <w:r>
        <w:rPr>
          <w:rFonts w:ascii="Calibri" w:cs="Calibri" w:eastAsia="Calibri" w:hAnsi="Calibri"/>
          <w:color w:val="2D3748"/>
          <w:sz w:val="20"/>
          <w:szCs w:val="20"/>
        </w:rPr>
        <w:t xml:space="preserve">Corporate income tax and any tax advisory beyond routine bookkeeping.</w:t>
      </w:r>
    </w:p>
    <w:p>
      <w:pPr>
        <w:pStyle w:val="ListParagraph"/>
        <w:numPr>
          <w:ilvl w:val="0"/>
          <w:numId w:val="2"/>
        </w:numPr>
        <w:spacing w:after="80"/>
      </w:pPr>
      <w:r>
        <w:rPr>
          <w:rFonts w:ascii="Calibri" w:cs="Calibri" w:eastAsia="Calibri" w:hAnsi="Calibri"/>
          <w:color w:val="2D3748"/>
          <w:sz w:val="20"/>
          <w:szCs w:val="20"/>
        </w:rPr>
        <w:t xml:space="preserve">Custom feature scope beyond the current GeneralLink master specification — quoted separately if requested.</w:t>
      </w:r>
    </w:p>
    <w:p>
      <w:pPr>
        <w:spacing w:after="80"/>
      </w:pPr>
      <w:r>
        <w:rPr>
          <w:rFonts w:ascii="Calibri" w:cs="Calibri" w:eastAsia="Calibri" w:hAnsi="Calibri"/>
          <w:i/>
          <w:iCs/>
          <w:color w:val="718096"/>
          <w:sz w:val="16"/>
          <w:szCs w:val="16"/>
        </w:rPr>
        <w:t xml:space="preserve">This is a planning-grade estimate, not a fixed-price contract. All figures are built from a live Excel model — every rate is an editable, sourced assumption, so it can be refined together with the client before signing.</w:t>
      </w:r>
    </w:p>
    <w:p>
      <w:pPr>
        <w:pStyle w:val="Heading1"/>
        <w:pBdr>
          <w:bottom w:val="single" w:color="0D5A8E" w:sz="6" w:space="4"/>
        </w:pBdr>
        <w:spacing w:after="160" w:before="320"/>
      </w:pPr>
      <w:r>
        <w:rPr>
          <w:rFonts w:ascii="Calibri" w:cs="Calibri" w:eastAsia="Calibri" w:hAnsi="Calibri"/>
          <w:b/>
          <w:bCs/>
          <w:color w:val="0D5A8E"/>
          <w:sz w:val="26"/>
          <w:szCs w:val="26"/>
        </w:rPr>
        <w:t xml:space="preserve">8. Next Steps</w:t>
      </w:r>
    </w:p>
    <w:p>
      <w:pPr>
        <w:pStyle w:val="ListParagraph"/>
        <w:numPr>
          <w:ilvl w:val="0"/>
          <w:numId w:val="2"/>
        </w:numPr>
        <w:spacing w:after="80"/>
      </w:pPr>
      <w:r>
        <w:rPr>
          <w:rFonts w:ascii="Calibri" w:cs="Calibri" w:eastAsia="Calibri" w:hAnsi="Calibri"/>
          <w:color w:val="2D3748"/>
          <w:sz w:val="20"/>
          <w:szCs w:val="20"/>
        </w:rPr>
        <w:t xml:space="preserve">Confirm the client's actual expected monthly sales volume and target user count for Year 1.</w:t>
      </w:r>
    </w:p>
    <w:p>
      <w:pPr>
        <w:pStyle w:val="ListParagraph"/>
        <w:numPr>
          <w:ilvl w:val="0"/>
          <w:numId w:val="2"/>
        </w:numPr>
        <w:spacing w:after="80"/>
      </w:pPr>
      <w:r>
        <w:rPr>
          <w:rFonts w:ascii="Calibri" w:cs="Calibri" w:eastAsia="Calibri" w:hAnsi="Calibri"/>
          <w:color w:val="2D3748"/>
          <w:sz w:val="20"/>
          <w:szCs w:val="20"/>
        </w:rPr>
        <w:t xml:space="preserve">Confirm team structure and any roles the client wants to staff themselves versus fully outsource.</w:t>
      </w:r>
    </w:p>
    <w:p>
      <w:pPr>
        <w:pStyle w:val="ListParagraph"/>
        <w:numPr>
          <w:ilvl w:val="0"/>
          <w:numId w:val="2"/>
        </w:numPr>
        <w:spacing w:after="80"/>
      </w:pPr>
      <w:r>
        <w:rPr>
          <w:rFonts w:ascii="Calibri" w:cs="Calibri" w:eastAsia="Calibri" w:hAnsi="Calibri"/>
          <w:color w:val="2D3748"/>
          <w:sz w:val="20"/>
          <w:szCs w:val="20"/>
        </w:rPr>
        <w:t xml:space="preserve">Agree final margin and payment schedule.</w:t>
      </w:r>
    </w:p>
    <w:p>
      <w:pPr>
        <w:pStyle w:val="ListParagraph"/>
        <w:numPr>
          <w:ilvl w:val="0"/>
          <w:numId w:val="2"/>
        </w:numPr>
        <w:spacing w:after="80"/>
      </w:pPr>
      <w:r>
        <w:rPr>
          <w:rFonts w:ascii="Calibri" w:cs="Calibri" w:eastAsia="Calibri" w:hAnsi="Calibri"/>
          <w:color w:val="2D3748"/>
          <w:sz w:val="20"/>
          <w:szCs w:val="20"/>
        </w:rPr>
        <w:t xml:space="preserve">Sign engagement letter and issue the mobilisation invoice.</w:t>
      </w:r>
    </w:p>
    <w:p>
      <w:pPr>
        <w:spacing w:before="400"/>
      </w:pPr>
      <w:r>
        <w:rPr>
          <w:rFonts w:ascii="Calibri" w:cs="Calibri" w:eastAsia="Calibri" w:hAnsi="Calibri"/>
          <w:i/>
          <w:iCs/>
          <w:color w:val="718096"/>
          <w:sz w:val="18"/>
          <w:szCs w:val="18"/>
        </w:rPr>
        <w:t xml:space="preserve">Prepared by Chris Yap  ·  chrisyapywj88@gmail.com  ·  14 August 2026</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4"/>
        <w:szCs w:val="14"/>
      </w:rPr>
      <w:t xml:space="preserve">Page </w:t>
    </w:r>
    <w:r>
      <w:rPr>
        <w:rFonts w:ascii="Calibri" w:cs="Calibri" w:eastAsia="Calibri" w:hAnsi="Calibri"/>
        <w:color w:val="718096"/>
        <w:sz w:val="14"/>
        <w:szCs w:val="14"/>
      </w:rPr>
      <w:fldChar w:fldCharType="begin"/>
      <w:instrText xml:space="preserve">PAGE</w:instrText>
      <w:fldChar w:fldCharType="separate"/>
      <w:fldChar w:fldCharType="end"/>
    </w:r>
    <w:r>
      <w:rPr>
        <w:rFonts w:ascii="Calibri" w:cs="Calibri" w:eastAsia="Calibri" w:hAnsi="Calibri"/>
        <w:color w:val="718096"/>
        <w:sz w:val="14"/>
        <w:szCs w:val="14"/>
      </w:rPr>
      <w:t xml:space="preserve"> of </w:t>
    </w:r>
    <w:r>
      <w:rPr>
        <w:rFonts w:ascii="Calibri" w:cs="Calibri" w:eastAsia="Calibri" w:hAnsi="Calibri"/>
        <w:color w:val="718096"/>
        <w:sz w:val="14"/>
        <w:szCs w:val="14"/>
      </w:rPr>
      <w:fldChar w:fldCharType="begin"/>
      <w:instrText xml:space="preserve">NUMPAGES</w:instrText>
      <w:fldChar w:fldCharType="separate"/>
      <w:fldChar w:fldCharType="end"/>
    </w:r>
    <w:r>
      <w:rPr>
        <w:rFonts w:ascii="Calibri" w:cs="Calibri" w:eastAsia="Calibri" w:hAnsi="Calibri"/>
        <w:color w:val="718096"/>
        <w:sz w:val="14"/>
        <w:szCs w:val="14"/>
      </w:rPr>
      <w:t xml:space="preserve">   ·   Prepared by Chris Yap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18096"/>
        <w:sz w:val="14"/>
        <w:szCs w:val="14"/>
      </w:rPr>
      <w:t xml:space="preserve">GeneralLink — Commercial Proposal (Turnkey Outsourcing)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2026-08-14T07:41:16.538Z</dcterms:created>
  <dcterms:modified xsi:type="dcterms:W3CDTF">2026-08-14T07:41:16.546Z</dcterms:modified>
</cp:coreProperties>
</file>

<file path=docProps/custom.xml><?xml version="1.0" encoding="utf-8"?>
<Properties xmlns="http://schemas.openxmlformats.org/officeDocument/2006/custom-properties" xmlns:vt="http://schemas.openxmlformats.org/officeDocument/2006/docPropsVTypes"/>
</file>