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pacing w:val="20"/>
          <w:sz w:val="20"/>
          <w:szCs w:val="20"/>
        </w:rPr>
        <w:t xml:space="preserve">GLADE</w:t>
      </w:r>
    </w:p>
    <w:p>
      <w:pPr>
        <w:spacing w:after="300"/>
      </w:pPr>
      <w:r>
        <w:rPr>
          <w:rFonts w:ascii="Calibri" w:cs="Calibri" w:eastAsia="Calibri" w:hAnsi="Calibri"/>
          <w:i/>
          <w:iCs/>
          <w:color w:val="595959"/>
          <w:sz w:val="18"/>
          <w:szCs w:val="18"/>
        </w:rPr>
        <w:t xml:space="preserve">GeneralLink Affiliate Digital Ecosystem</w:t>
      </w:r>
    </w:p>
    <w:p>
      <w:pPr>
        <w:spacing w:after="120"/>
      </w:pPr>
      <w:r>
        <w:rPr>
          <w:rFonts w:ascii="Calibri" w:cs="Calibri" w:eastAsia="Calibri" w:hAnsi="Calibri"/>
          <w:b/>
          <w:bCs/>
          <w:color w:val="1F3864"/>
          <w:sz w:val="44"/>
          <w:szCs w:val="44"/>
        </w:rPr>
        <w:t xml:space="preserve">Affiliate Referral Program Terms</w:t>
      </w:r>
    </w:p>
    <w:p>
      <w:pPr>
        <w:spacing w:after="300"/>
      </w:pPr>
      <w:r>
        <w:rPr>
          <w:rFonts w:ascii="Calibri" w:cs="Calibri" w:eastAsia="Calibri" w:hAnsi="Calibri"/>
          <w:color w:val="595959"/>
          <w:sz w:val="22"/>
          <w:szCs w:val="22"/>
        </w:rPr>
        <w:t xml:space="preserve">Governing the GLADE tiered referral and commission program</w:t>
      </w:r>
    </w:p>
    <w:tbl>
      <w:tblPr>
        <w:tblW w:type="pct" w:w="100%"/>
        <w:tblBorders>
          <w:top w:val="single" w:color="D9D9D9" w:sz="4"/>
          <w:left w:val="none"/>
          <w:bottom w:val="single" w:color="D9D9D9" w:sz="4"/>
          <w:right w:val="none"/>
          <w:insideH w:val="single" w:color="D9D9D9" w:sz="4"/>
          <w:insideV w:val="none"/>
        </w:tblBorders>
      </w:tblPr>
      <w:tblGrid>
        <w:gridCol w:w="3000"/>
        <w:gridCol w:w="6500"/>
      </w:tblGrid>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Document Status</w:t>
            </w:r>
          </w:p>
        </w:tc>
        <w:tc>
          <w:tcPr>
            <w:tcW w:type="dxa" w:w="6500"/>
            <w:tcMar>
              <w:top w:type="dxa" w:w="80"/>
              <w:left w:type="dxa" w:w="100"/>
              <w:bottom w:type="dxa" w:w="80"/>
              <w:right w:type="dxa" w:w="100"/>
            </w:tcMar>
            <w:vAlign w:val="center"/>
          </w:tcPr>
          <w:p>
            <w:r>
              <w:rPr>
                <w:rFonts w:ascii="Calibri" w:cs="Calibri" w:eastAsia="Calibri" w:hAnsi="Calibri"/>
                <w:b/>
                <w:bCs/>
                <w:color w:val="C00000"/>
                <w:sz w:val="18"/>
                <w:szCs w:val="18"/>
              </w:rPr>
              <w:t xml:space="preserve">DRAFT — PREPARED FOR LEGAL REVIEW. NOT YET APPROVED OR LEGALLY BINDING.</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Version</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Version 1.0</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Effective Date</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[TO BE CONFIRMED UPON LEGAL APPROVAL]</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Governing Law</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Malaysia</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Prepared For</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[COMPANY NAME] (registration in progress — legal entity name to be inserted once available)</w:t>
            </w:r>
          </w:p>
        </w:tc>
      </w:tr>
    </w:tbl>
    <w:p>
      <w:pPr>
        <w:pBdr>
          <w:bottom w:val="single" w:color="1F3864" w:sz="6"/>
        </w:pBdr>
        <w:spacing w:after="300" w:before="300"/>
      </w:pPr>
    </w:p>
    <w:p>
      <w:pPr>
        <w:pStyle w:val="Heading1"/>
        <w:spacing w:after="140" w:before="320"/>
      </w:pPr>
      <w:r>
        <w:rPr>
          <w:rFonts w:ascii="Calibri" w:cs="Calibri" w:eastAsia="Calibri" w:hAnsi="Calibri"/>
          <w:b/>
          <w:bCs/>
          <w:color w:val="1F3864"/>
          <w:sz w:val="26"/>
          <w:szCs w:val="26"/>
        </w:rPr>
        <w:t xml:space="preserve">1. Purpose and Scope</w:t>
      </w:r>
    </w:p>
    <w:p>
      <w:pPr>
        <w:spacing w:after="140" w:line="276"/>
      </w:pPr>
      <w:r>
        <w:rPr>
          <w:rFonts w:ascii="Calibri" w:cs="Calibri" w:eastAsia="Calibri" w:hAnsi="Calibri"/>
          <w:b w:val="false"/>
          <w:bCs w:val="false"/>
          <w:i w:val="false"/>
          <w:iCs w:val="false"/>
          <w:sz w:val="21"/>
          <w:szCs w:val="21"/>
        </w:rPr>
        <w:t xml:space="preserve">These Affiliate Referral Program Terms ("Program Terms") govern participation in the GLADE referral and commission program operated by [COMPANY NAME] ("GeneralLink"). They apply to every Agent in addition to, and not in place of, the GLADE Terms of Use and Privacy Policy. In the event of a conflict specific to the referral program, these Program Terms prevail.</w:t>
      </w:r>
    </w:p>
    <w:p>
      <w:pPr>
        <w:pStyle w:val="Heading1"/>
        <w:spacing w:after="140" w:before="320"/>
      </w:pPr>
      <w:r>
        <w:rPr>
          <w:rFonts w:ascii="Calibri" w:cs="Calibri" w:eastAsia="Calibri" w:hAnsi="Calibri"/>
          <w:b/>
          <w:bCs/>
          <w:color w:val="1F3864"/>
          <w:sz w:val="26"/>
          <w:szCs w:val="26"/>
        </w:rPr>
        <w:t xml:space="preserve">2. Agent Conduct, Integrity and Compliance</w:t>
      </w:r>
    </w:p>
    <w:p>
      <w:pPr>
        <w:spacing w:after="140" w:line="276"/>
      </w:pPr>
      <w:r>
        <w:rPr>
          <w:rFonts w:ascii="Calibri" w:cs="Calibri" w:eastAsia="Calibri" w:hAnsi="Calibri"/>
          <w:b w:val="false"/>
          <w:bCs w:val="false"/>
          <w:i w:val="false"/>
          <w:iCs w:val="false"/>
          <w:sz w:val="21"/>
          <w:szCs w:val="21"/>
        </w:rPr>
        <w:t xml:space="preserve">Every Agent must, at all times, provide information that is true, accurate, and not false or misleading in connection with their participation in this program, and must deal with GeneralLink, other Agents, customers, and Vendors honestly and in accordance with good business ethics and integrity.</w:t>
      </w:r>
    </w:p>
    <w:p>
      <w:pPr>
        <w:spacing w:after="140" w:line="276"/>
      </w:pPr>
      <w:r>
        <w:rPr>
          <w:rFonts w:ascii="Calibri" w:cs="Calibri" w:eastAsia="Calibri" w:hAnsi="Calibri"/>
          <w:b w:val="false"/>
          <w:bCs w:val="false"/>
          <w:i w:val="false"/>
          <w:iCs w:val="false"/>
          <w:sz w:val="21"/>
          <w:szCs w:val="21"/>
        </w:rPr>
        <w:t xml:space="preserve">All products, services, and access made available through the Platform are strictly subject to, and guarded by, the applicable laws of Malaysia. GeneralLink does not assume, and expressly disclaims, any responsibility or liability on behalf of an Agent for that Agent’s own violation of applicable law or these Program Terms — responsibility and liability for such conduct rests solely with the Agent responsible for it.</w:t>
      </w:r>
    </w:p>
    <w:p>
      <w:pPr>
        <w:pStyle w:val="Heading1"/>
        <w:spacing w:after="140" w:before="320"/>
      </w:pPr>
      <w:r>
        <w:rPr>
          <w:rFonts w:ascii="Calibri" w:cs="Calibri" w:eastAsia="Calibri" w:hAnsi="Calibri"/>
          <w:b/>
          <w:bCs/>
          <w:color w:val="1F3864"/>
          <w:sz w:val="26"/>
          <w:szCs w:val="26"/>
        </w:rPr>
        <w:t xml:space="preserve">3. Upline Permanence</w:t>
      </w:r>
    </w:p>
    <w:p>
      <w:pPr>
        <w:spacing w:after="140" w:line="276"/>
      </w:pPr>
      <w:r>
        <w:rPr>
          <w:rFonts w:ascii="Calibri" w:cs="Calibri" w:eastAsia="Calibri" w:hAnsi="Calibri"/>
          <w:b w:val="false"/>
          <w:bCs w:val="false"/>
          <w:i w:val="false"/>
          <w:iCs w:val="false"/>
          <w:sz w:val="21"/>
          <w:szCs w:val="21"/>
        </w:rPr>
        <w:t xml:space="preserve">The Agent who refers a new registrant becomes that registrant’s permanent Upline. Once set at registration, the Upline relationship does not change, except at GeneralLink’s sole discretion where necessary to correct fraud, error, or a violation of these Program Terms.</w:t>
      </w:r>
    </w:p>
    <w:p>
      <w:pPr>
        <w:pStyle w:val="Heading1"/>
        <w:spacing w:after="140" w:before="320"/>
      </w:pPr>
      <w:r>
        <w:rPr>
          <w:rFonts w:ascii="Calibri" w:cs="Calibri" w:eastAsia="Calibri" w:hAnsi="Calibri"/>
          <w:b/>
          <w:bCs/>
          <w:color w:val="1F3864"/>
          <w:sz w:val="26"/>
          <w:szCs w:val="26"/>
        </w:rPr>
        <w:t xml:space="preserve">4. Eligibility</w:t>
      </w:r>
    </w:p>
    <w:p>
      <w:pPr>
        <w:spacing w:after="140" w:line="276"/>
      </w:pPr>
      <w:r>
        <w:rPr>
          <w:rFonts w:ascii="Calibri" w:cs="Calibri" w:eastAsia="Calibri" w:hAnsi="Calibri"/>
          <w:b w:val="false"/>
          <w:bCs w:val="false"/>
          <w:i w:val="false"/>
          <w:iCs w:val="false"/>
          <w:sz w:val="21"/>
          <w:szCs w:val="21"/>
        </w:rPr>
        <w:t xml:space="preserve">To participate in and earn Commission under this program, an Agent must maintain an active account in good standing and comply with these Program Terms, the Terms of Use, and all applicable law. GeneralLink may suspend Commission eligibility for any Agent under investigation for fraud or abuse.</w:t>
      </w:r>
    </w:p>
    <w:p>
      <w:pPr>
        <w:pStyle w:val="Heading1"/>
        <w:spacing w:after="140" w:before="320"/>
      </w:pPr>
      <w:r>
        <w:rPr>
          <w:rFonts w:ascii="Calibri" w:cs="Calibri" w:eastAsia="Calibri" w:hAnsi="Calibri"/>
          <w:b/>
          <w:bCs/>
          <w:color w:val="1F3864"/>
          <w:sz w:val="26"/>
          <w:szCs w:val="26"/>
        </w:rPr>
        <w:t xml:space="preserve">5. Agent Conduct</w:t>
      </w:r>
    </w:p>
    <w:p>
      <w:pPr>
        <w:spacing w:after="140" w:line="276"/>
      </w:pPr>
      <w:r>
        <w:rPr>
          <w:rFonts w:ascii="Calibri" w:cs="Calibri" w:eastAsia="Calibri" w:hAnsi="Calibri"/>
          <w:b w:val="false"/>
          <w:bCs w:val="false"/>
          <w:i w:val="false"/>
          <w:iCs w:val="false"/>
          <w:sz w:val="21"/>
          <w:szCs w:val="21"/>
        </w:rPr>
        <w:t xml:space="preserve">When promoting the Platform or Vendor products, Agents must not: misrepresent expected earnings; make false or misleading claims about any Vendor product; engage in spam, unsolicited bulk messaging, or deceptive marketing; or misrepresent their tier, Upline, or affiliation with GeneralLink.</w:t>
      </w:r>
    </w:p>
    <w:p>
      <w:pPr>
        <w:pStyle w:val="Heading1"/>
        <w:spacing w:after="140" w:before="320"/>
      </w:pPr>
      <w:r>
        <w:rPr>
          <w:rFonts w:ascii="Calibri" w:cs="Calibri" w:eastAsia="Calibri" w:hAnsi="Calibri"/>
          <w:b/>
          <w:bCs/>
          <w:color w:val="1F3864"/>
          <w:sz w:val="26"/>
          <w:szCs w:val="26"/>
        </w:rPr>
        <w:t xml:space="preserve">6. Commission Structure</w:t>
      </w:r>
    </w:p>
    <w:p>
      <w:pPr>
        <w:spacing w:after="140" w:line="276"/>
      </w:pPr>
      <w:r>
        <w:rPr>
          <w:rFonts w:ascii="Calibri" w:cs="Calibri" w:eastAsia="Calibri" w:hAnsi="Calibri"/>
          <w:b w:val="false"/>
          <w:bCs w:val="false"/>
          <w:i w:val="false"/>
          <w:iCs w:val="false"/>
          <w:sz w:val="21"/>
          <w:szCs w:val="21"/>
        </w:rPr>
        <w:t xml:space="preserve">Commission is calculated according to the Commission Schedule in force at the time of the relevant qualifying transaction, as published or made available to Agents on the Platform. The Commission Schedule may include tier-based rates, multi-level overrides across the referral hierarchy, and Breakaway group adjustments. GeneralLink may amend the Commission Schedule from time to time; changes will not retroactively reduce Commission already earned and payable on transactions completed before the change takes effect, unless required to correct an error or address fraud.</w:t>
      </w:r>
    </w:p>
    <w:p>
      <w:pPr>
        <w:pStyle w:val="Heading1"/>
        <w:spacing w:after="140" w:before="320"/>
      </w:pPr>
      <w:r>
        <w:rPr>
          <w:rFonts w:ascii="Calibri" w:cs="Calibri" w:eastAsia="Calibri" w:hAnsi="Calibri"/>
          <w:b/>
          <w:bCs/>
          <w:color w:val="1F3864"/>
          <w:sz w:val="26"/>
          <w:szCs w:val="26"/>
        </w:rPr>
        <w:t xml:space="preserve">7. Payment Terms</w:t>
      </w:r>
    </w:p>
    <w:p>
      <w:pPr>
        <w:spacing w:after="140" w:line="276"/>
      </w:pPr>
      <w:r>
        <w:rPr>
          <w:rFonts w:ascii="Calibri" w:cs="Calibri" w:eastAsia="Calibri" w:hAnsi="Calibri"/>
          <w:b w:val="false"/>
          <w:bCs w:val="false"/>
          <w:i w:val="false"/>
          <w:iCs w:val="false"/>
          <w:sz w:val="21"/>
          <w:szCs w:val="21"/>
        </w:rPr>
        <w:t xml:space="preserve">Commission is paid to the bank account details on file for the Agent, on the payment cycle and subject to any minimum payout threshold specified on the Platform. GeneralLink reserves the right to withhold, delay, reverse, or reclaim Commission where the underlying transaction is cancelled, refunded, disputed, or found to involve fraud or a breach of these Program Terms.</w:t>
      </w:r>
    </w:p>
    <w:p>
      <w:pPr>
        <w:pStyle w:val="Heading1"/>
        <w:spacing w:after="140" w:before="320"/>
      </w:pPr>
      <w:r>
        <w:rPr>
          <w:rFonts w:ascii="Calibri" w:cs="Calibri" w:eastAsia="Calibri" w:hAnsi="Calibri"/>
          <w:b/>
          <w:bCs/>
          <w:color w:val="1F3864"/>
          <w:sz w:val="26"/>
          <w:szCs w:val="26"/>
        </w:rPr>
        <w:t xml:space="preserve">8. Tax Responsibility</w:t>
      </w:r>
    </w:p>
    <w:p>
      <w:pPr>
        <w:spacing w:after="140" w:line="276"/>
      </w:pPr>
      <w:r>
        <w:rPr>
          <w:rFonts w:ascii="Calibri" w:cs="Calibri" w:eastAsia="Calibri" w:hAnsi="Calibri"/>
          <w:b w:val="false"/>
          <w:bCs w:val="false"/>
          <w:i w:val="false"/>
          <w:iCs w:val="false"/>
          <w:sz w:val="21"/>
          <w:szCs w:val="21"/>
        </w:rPr>
        <w:t xml:space="preserve">Agents are solely responsible for determining and meeting their own tax obligations arising from Commission earned through the program. GeneralLink may be required to report Commission payments to the relevant tax authorities as required by law.</w:t>
      </w:r>
    </w:p>
    <w:p>
      <w:pPr>
        <w:pStyle w:val="Heading1"/>
        <w:spacing w:after="140" w:before="320"/>
      </w:pPr>
      <w:r>
        <w:rPr>
          <w:rFonts w:ascii="Calibri" w:cs="Calibri" w:eastAsia="Calibri" w:hAnsi="Calibri"/>
          <w:b/>
          <w:bCs/>
          <w:color w:val="1F3864"/>
          <w:sz w:val="26"/>
          <w:szCs w:val="26"/>
        </w:rPr>
        <w:t xml:space="preserve">9. Relationship of the Parties</w:t>
      </w:r>
    </w:p>
    <w:p>
      <w:pPr>
        <w:spacing w:after="140" w:line="276"/>
      </w:pPr>
      <w:r>
        <w:rPr>
          <w:rFonts w:ascii="Calibri" w:cs="Calibri" w:eastAsia="Calibri" w:hAnsi="Calibri"/>
          <w:b w:val="false"/>
          <w:bCs w:val="false"/>
          <w:i w:val="false"/>
          <w:iCs w:val="false"/>
          <w:sz w:val="21"/>
          <w:szCs w:val="21"/>
        </w:rPr>
        <w:t xml:space="preserve">Participation in this program does not create an employment, partnership, joint venture, or agency relationship between the Agent and GeneralLink. Agents act as independent participants in the referral program and are not authorized to make representations or commitments on GeneralLink’s behalf.</w:t>
      </w:r>
    </w:p>
    <w:p>
      <w:pPr>
        <w:pStyle w:val="Heading1"/>
        <w:spacing w:after="140" w:before="320"/>
      </w:pPr>
      <w:r>
        <w:rPr>
          <w:rFonts w:ascii="Calibri" w:cs="Calibri" w:eastAsia="Calibri" w:hAnsi="Calibri"/>
          <w:b/>
          <w:bCs/>
          <w:color w:val="1F3864"/>
          <w:sz w:val="26"/>
          <w:szCs w:val="26"/>
        </w:rPr>
        <w:t xml:space="preserve">10. Term, Suspension, and Termination</w:t>
      </w:r>
    </w:p>
    <w:p>
      <w:pPr>
        <w:spacing w:after="140" w:line="276"/>
      </w:pPr>
      <w:r>
        <w:rPr>
          <w:rFonts w:ascii="Calibri" w:cs="Calibri" w:eastAsia="Calibri" w:hAnsi="Calibri"/>
          <w:b w:val="false"/>
          <w:bCs w:val="false"/>
          <w:i w:val="false"/>
          <w:iCs w:val="false"/>
          <w:sz w:val="21"/>
          <w:szCs w:val="21"/>
        </w:rPr>
        <w:t xml:space="preserve">An Agent’s participation continues for as long as their Platform account remains active and in good standing. GeneralLink may suspend or terminate an Agent’s participation in the program (independently of their underlying Platform account) for breach of these Program Terms, suspected fraud, or as required by law. Termination does not entitle the Agent to Commission that was not validly earned, and does not affect Commission already validly earned and payable prior to termination, except where withheld or reversed under Section 7.</w:t>
      </w:r>
    </w:p>
    <w:p>
      <w:pPr>
        <w:pStyle w:val="Heading1"/>
        <w:spacing w:after="140" w:before="320"/>
      </w:pPr>
      <w:r>
        <w:rPr>
          <w:rFonts w:ascii="Calibri" w:cs="Calibri" w:eastAsia="Calibri" w:hAnsi="Calibri"/>
          <w:b/>
          <w:bCs/>
          <w:color w:val="1F3864"/>
          <w:sz w:val="26"/>
          <w:szCs w:val="26"/>
        </w:rPr>
        <w:t xml:space="preserve">11. Amendments</w:t>
      </w:r>
    </w:p>
    <w:p>
      <w:pPr>
        <w:spacing w:after="140" w:line="276"/>
      </w:pPr>
      <w:r>
        <w:rPr>
          <w:rFonts w:ascii="Calibri" w:cs="Calibri" w:eastAsia="Calibri" w:hAnsi="Calibri"/>
          <w:b w:val="false"/>
          <w:bCs w:val="false"/>
          <w:i w:val="false"/>
          <w:iCs w:val="false"/>
          <w:sz w:val="21"/>
          <w:szCs w:val="21"/>
        </w:rPr>
        <w:t xml:space="preserve">GeneralLink may update these Program Terms from time to time. Material changes will require Agents to review and re-accept the updated Program Terms before continuing to earn Commission, consistent with GLADE’s version management and re-acceptance process.</w:t>
      </w:r>
    </w:p>
    <w:p>
      <w:pPr>
        <w:pStyle w:val="Heading1"/>
        <w:spacing w:after="140" w:before="320"/>
      </w:pPr>
      <w:r>
        <w:rPr>
          <w:rFonts w:ascii="Calibri" w:cs="Calibri" w:eastAsia="Calibri" w:hAnsi="Calibri"/>
          <w:b/>
          <w:bCs/>
          <w:color w:val="1F3864"/>
          <w:sz w:val="26"/>
          <w:szCs w:val="26"/>
        </w:rPr>
        <w:t xml:space="preserve">12. Governing Law</w:t>
      </w:r>
    </w:p>
    <w:p>
      <w:pPr>
        <w:spacing w:after="140" w:line="276"/>
      </w:pPr>
      <w:r>
        <w:rPr>
          <w:rFonts w:ascii="Calibri" w:cs="Calibri" w:eastAsia="Calibri" w:hAnsi="Calibri"/>
          <w:b w:val="false"/>
          <w:bCs w:val="false"/>
          <w:i w:val="false"/>
          <w:iCs w:val="false"/>
          <w:sz w:val="21"/>
          <w:szCs w:val="21"/>
        </w:rPr>
        <w:t xml:space="preserve">These Program Terms are governed by the laws of Malaysia, consistent with the governing law provision in the GLADE Terms of Use.</w:t>
      </w:r>
    </w:p>
    <w:p>
      <w:pPr>
        <w:pStyle w:val="Heading1"/>
        <w:spacing w:after="140" w:before="320"/>
      </w:pPr>
      <w:r>
        <w:rPr>
          <w:rFonts w:ascii="Calibri" w:cs="Calibri" w:eastAsia="Calibri" w:hAnsi="Calibri"/>
          <w:b/>
          <w:bCs/>
          <w:color w:val="1F3864"/>
          <w:sz w:val="26"/>
          <w:szCs w:val="26"/>
        </w:rPr>
        <w:t xml:space="preserve">13. Contact Us</w:t>
      </w:r>
    </w:p>
    <w:p>
      <w:pPr>
        <w:spacing w:after="140" w:line="276"/>
      </w:pPr>
      <w:r>
        <w:rPr>
          <w:rFonts w:ascii="Calibri" w:cs="Calibri" w:eastAsia="Calibri" w:hAnsi="Calibri"/>
          <w:b w:val="false"/>
          <w:bCs w:val="false"/>
          <w:i w:val="false"/>
          <w:iCs w:val="false"/>
          <w:sz w:val="21"/>
          <w:szCs w:val="21"/>
        </w:rPr>
        <w:t xml:space="preserve">For questions about these Program Terms, please contact [COMPANY NAME] at [CONTACT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rFonts w:ascii="Calibri" w:cs="Calibri" w:eastAsia="Calibri" w:hAnsi="Calibri"/>
        <w:color w:val="595959"/>
        <w:sz w:val="15"/>
        <w:szCs w:val="15"/>
      </w:rPr>
      <w:t xml:space="preserve">GLADE — Affiliate Referral Program Terms — DRAFT for legal review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0000"/>
        <w:sz w:val="15"/>
        <w:szCs w:val="15"/>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2026-08-05T07:09:02.391Z</dcterms:created>
  <dcterms:modified xsi:type="dcterms:W3CDTF">2026-08-05T07:09:02.394Z</dcterms:modified>
</cp:coreProperties>
</file>

<file path=docProps/custom.xml><?xml version="1.0" encoding="utf-8"?>
<Properties xmlns="http://schemas.openxmlformats.org/officeDocument/2006/custom-properties" xmlns:vt="http://schemas.openxmlformats.org/officeDocument/2006/docPropsVTypes"/>
</file>