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864"/>
          <w:spacing w:val="20"/>
          <w:sz w:val="20"/>
          <w:szCs w:val="20"/>
        </w:rPr>
        <w:t xml:space="preserve">GLADE</w:t>
      </w:r>
    </w:p>
    <w:p>
      <w:pPr>
        <w:spacing w:after="300"/>
      </w:pPr>
      <w:r>
        <w:rPr>
          <w:rFonts w:ascii="Calibri" w:cs="Calibri" w:eastAsia="Calibri" w:hAnsi="Calibri"/>
          <w:i/>
          <w:iCs/>
          <w:color w:val="595959"/>
          <w:sz w:val="18"/>
          <w:szCs w:val="18"/>
        </w:rPr>
        <w:t xml:space="preserve">GeneralLink Affiliate Digital Ecosystem</w:t>
      </w:r>
    </w:p>
    <w:p>
      <w:pPr>
        <w:spacing w:after="120"/>
      </w:pPr>
      <w:r>
        <w:rPr>
          <w:rFonts w:ascii="Calibri" w:cs="Calibri" w:eastAsia="Calibri" w:hAnsi="Calibri"/>
          <w:b/>
          <w:bCs/>
          <w:color w:val="1F3864"/>
          <w:sz w:val="44"/>
          <w:szCs w:val="44"/>
        </w:rPr>
        <w:t xml:space="preserve">Privacy Policy</w:t>
      </w:r>
    </w:p>
    <w:p>
      <w:pPr>
        <w:spacing w:after="300"/>
      </w:pPr>
      <w:r>
        <w:rPr>
          <w:rFonts w:ascii="Calibri" w:cs="Calibri" w:eastAsia="Calibri" w:hAnsi="Calibri"/>
          <w:color w:val="595959"/>
          <w:sz w:val="22"/>
          <w:szCs w:val="22"/>
        </w:rPr>
        <w:t xml:space="preserve">How GLADE collects, uses, and protects your personal data</w:t>
      </w:r>
    </w:p>
    <w:tbl>
      <w:tblPr>
        <w:tblW w:type="pct" w:w="100%"/>
        <w:tblBorders>
          <w:top w:val="single" w:color="D9D9D9" w:sz="4"/>
          <w:left w:val="none"/>
          <w:bottom w:val="single" w:color="D9D9D9" w:sz="4"/>
          <w:right w:val="none"/>
          <w:insideH w:val="single" w:color="D9D9D9" w:sz="4"/>
          <w:insideV w:val="none"/>
        </w:tblBorders>
      </w:tblPr>
      <w:tblGrid>
        <w:gridCol w:w="3000"/>
        <w:gridCol w:w="6500"/>
      </w:tblGrid>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Document Status</w:t>
            </w:r>
          </w:p>
        </w:tc>
        <w:tc>
          <w:tcPr>
            <w:tcW w:type="dxa" w:w="6500"/>
            <w:tcMar>
              <w:top w:type="dxa" w:w="80"/>
              <w:left w:type="dxa" w:w="100"/>
              <w:bottom w:type="dxa" w:w="80"/>
              <w:right w:type="dxa" w:w="100"/>
            </w:tcMar>
            <w:vAlign w:val="center"/>
          </w:tcPr>
          <w:p>
            <w:r>
              <w:rPr>
                <w:rFonts w:ascii="Calibri" w:cs="Calibri" w:eastAsia="Calibri" w:hAnsi="Calibri"/>
                <w:b/>
                <w:bCs/>
                <w:color w:val="C00000"/>
                <w:sz w:val="18"/>
                <w:szCs w:val="18"/>
              </w:rPr>
              <w:t xml:space="preserve">DRAFT — PREPARED FOR LEGAL REVIEW. NOT YET APPROVED OR LEGALLY BINDING.</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Version</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Version 1.0</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Effective Date</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[TO BE CONFIRMED UPON LEGAL APPROVAL]</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Governing Law</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Malaysia</w:t>
            </w:r>
          </w:p>
        </w:tc>
      </w:tr>
      <w:tr>
        <w:tc>
          <w:tcPr>
            <w:tcW w:type="dxa" w:w="3000"/>
            <w:shd w:fill="F2F2F2" w:val="clear"/>
            <w:tcMar>
              <w:top w:type="dxa" w:w="80"/>
              <w:left w:type="dxa" w:w="100"/>
              <w:bottom w:type="dxa" w:w="80"/>
              <w:right w:type="dxa" w:w="100"/>
            </w:tcMar>
            <w:vAlign w:val="center"/>
          </w:tcPr>
          <w:p>
            <w:r>
              <w:rPr>
                <w:rFonts w:ascii="Calibri" w:cs="Calibri" w:eastAsia="Calibri" w:hAnsi="Calibri"/>
                <w:b/>
                <w:bCs/>
                <w:sz w:val="18"/>
                <w:szCs w:val="18"/>
              </w:rPr>
              <w:t xml:space="preserve">Prepared For</w:t>
            </w:r>
          </w:p>
        </w:tc>
        <w:tc>
          <w:tcPr>
            <w:tcW w:type="dxa" w:w="6500"/>
            <w:tcMar>
              <w:top w:type="dxa" w:w="80"/>
              <w:left w:type="dxa" w:w="100"/>
              <w:bottom w:type="dxa" w:w="80"/>
              <w:right w:type="dxa" w:w="100"/>
            </w:tcMar>
            <w:vAlign w:val="center"/>
          </w:tcPr>
          <w:p>
            <w:r>
              <w:rPr>
                <w:rFonts w:ascii="Calibri" w:cs="Calibri" w:eastAsia="Calibri" w:hAnsi="Calibri"/>
                <w:b w:val="false"/>
                <w:bCs w:val="false"/>
                <w:color w:val="000000"/>
                <w:sz w:val="18"/>
                <w:szCs w:val="18"/>
              </w:rPr>
              <w:t xml:space="preserve">[COMPANY NAME] (registration in progress — legal entity name to be inserted once available)</w:t>
            </w:r>
          </w:p>
        </w:tc>
      </w:tr>
    </w:tbl>
    <w:p>
      <w:pPr>
        <w:pBdr>
          <w:bottom w:val="single" w:color="1F3864" w:sz="6"/>
        </w:pBdr>
        <w:spacing w:after="300" w:before="300"/>
      </w:pPr>
    </w:p>
    <w:p>
      <w:pPr>
        <w:pStyle w:val="Heading1"/>
        <w:spacing w:after="140" w:before="320"/>
      </w:pPr>
      <w:r>
        <w:rPr>
          <w:rFonts w:ascii="Calibri" w:cs="Calibri" w:eastAsia="Calibri" w:hAnsi="Calibri"/>
          <w:b/>
          <w:bCs/>
          <w:color w:val="1F3864"/>
          <w:sz w:val="26"/>
          <w:szCs w:val="26"/>
        </w:rPr>
        <w:t xml:space="preserve">1. Introduction</w:t>
      </w:r>
    </w:p>
    <w:p>
      <w:pPr>
        <w:spacing w:after="140" w:line="276"/>
      </w:pPr>
      <w:r>
        <w:rPr>
          <w:rFonts w:ascii="Calibri" w:cs="Calibri" w:eastAsia="Calibri" w:hAnsi="Calibri"/>
          <w:b w:val="false"/>
          <w:bCs w:val="false"/>
          <w:i w:val="false"/>
          <w:iCs w:val="false"/>
          <w:sz w:val="21"/>
          <w:szCs w:val="21"/>
        </w:rPr>
        <w:t xml:space="preserve">This Privacy Policy explains how [COMPANY NAME] ("GeneralLink", "we", "us", "our"), operator of GLADE (the "Platform"), collects, uses, discloses, and protects personal data belonging to Agents, customers, and other individuals who interact with the Platform. This Policy is prepared with reference to Malaysia’s Personal Data Protection Act 2010, as amended by the Personal Data Protection (Amendment) Act 2024 ("PDPA").</w:t>
      </w:r>
    </w:p>
    <w:p>
      <w:pPr>
        <w:pStyle w:val="Heading1"/>
        <w:spacing w:after="140" w:before="320"/>
      </w:pPr>
      <w:r>
        <w:rPr>
          <w:rFonts w:ascii="Calibri" w:cs="Calibri" w:eastAsia="Calibri" w:hAnsi="Calibri"/>
          <w:b/>
          <w:bCs/>
          <w:color w:val="1F3864"/>
          <w:sz w:val="26"/>
          <w:szCs w:val="26"/>
        </w:rPr>
        <w:t xml:space="preserve">2. Personal Data We Collect</w:t>
      </w:r>
    </w:p>
    <w:p>
      <w:pPr>
        <w:pStyle w:val="ListParagraph"/>
        <w:numPr>
          <w:ilvl w:val="0"/>
          <w:numId w:val="1"/>
        </w:numPr>
        <w:spacing w:after="80" w:line="276"/>
      </w:pPr>
      <w:r>
        <w:rPr>
          <w:rFonts w:ascii="Calibri" w:cs="Calibri" w:eastAsia="Calibri" w:hAnsi="Calibri"/>
          <w:sz w:val="21"/>
          <w:szCs w:val="21"/>
        </w:rPr>
        <w:t xml:space="preserve">Identity and contact data: full name, NRIC/passport number, mobile number, email address, mailing address.</w:t>
      </w:r>
    </w:p>
    <w:p>
      <w:pPr>
        <w:pStyle w:val="ListParagraph"/>
        <w:numPr>
          <w:ilvl w:val="0"/>
          <w:numId w:val="1"/>
        </w:numPr>
        <w:spacing w:after="80" w:line="276"/>
      </w:pPr>
      <w:r>
        <w:rPr>
          <w:rFonts w:ascii="Calibri" w:cs="Calibri" w:eastAsia="Calibri" w:hAnsi="Calibri"/>
          <w:sz w:val="21"/>
          <w:szCs w:val="21"/>
        </w:rPr>
        <w:t xml:space="preserve">Account data: login credentials, role/tier, Upline and downline relationships, registration date.</w:t>
      </w:r>
    </w:p>
    <w:p>
      <w:pPr>
        <w:pStyle w:val="ListParagraph"/>
        <w:numPr>
          <w:ilvl w:val="0"/>
          <w:numId w:val="1"/>
        </w:numPr>
        <w:spacing w:after="80" w:line="276"/>
      </w:pPr>
      <w:r>
        <w:rPr>
          <w:rFonts w:ascii="Calibri" w:cs="Calibri" w:eastAsia="Calibri" w:hAnsi="Calibri"/>
          <w:sz w:val="21"/>
          <w:szCs w:val="21"/>
        </w:rPr>
        <w:t xml:space="preserve">Financial data: bank account details for Commission payment, transaction and commission history.</w:t>
      </w:r>
    </w:p>
    <w:p>
      <w:pPr>
        <w:pStyle w:val="ListParagraph"/>
        <w:numPr>
          <w:ilvl w:val="0"/>
          <w:numId w:val="1"/>
        </w:numPr>
        <w:spacing w:after="80" w:line="276"/>
      </w:pPr>
      <w:r>
        <w:rPr>
          <w:rFonts w:ascii="Calibri" w:cs="Calibri" w:eastAsia="Calibri" w:hAnsi="Calibri"/>
          <w:sz w:val="21"/>
          <w:szCs w:val="21"/>
        </w:rPr>
        <w:t xml:space="preserve">Technical data: IP address, browser type, operating system, device type, and language preference, collected automatically when you use the Platform.</w:t>
      </w:r>
    </w:p>
    <w:p>
      <w:pPr>
        <w:pStyle w:val="ListParagraph"/>
        <w:numPr>
          <w:ilvl w:val="0"/>
          <w:numId w:val="1"/>
        </w:numPr>
        <w:spacing w:after="80" w:line="276"/>
      </w:pPr>
      <w:r>
        <w:rPr>
          <w:rFonts w:ascii="Calibri" w:cs="Calibri" w:eastAsia="Calibri" w:hAnsi="Calibri"/>
          <w:sz w:val="21"/>
          <w:szCs w:val="21"/>
        </w:rPr>
        <w:t xml:space="preserve">Consent records: the specific document versions you accepted, the timestamp, and the technical details of that acceptance, as described in Section 8.</w:t>
      </w:r>
    </w:p>
    <w:p>
      <w:pPr>
        <w:pStyle w:val="ListParagraph"/>
        <w:numPr>
          <w:ilvl w:val="0"/>
          <w:numId w:val="1"/>
        </w:numPr>
        <w:spacing w:after="80" w:line="276"/>
      </w:pPr>
      <w:r>
        <w:rPr>
          <w:rFonts w:ascii="Calibri" w:cs="Calibri" w:eastAsia="Calibri" w:hAnsi="Calibri"/>
          <w:sz w:val="21"/>
          <w:szCs w:val="21"/>
        </w:rPr>
        <w:t xml:space="preserve">Communications data: records of correspondence, support tickets, and AI assistant conversations you choose to have on the Platform.</w:t>
      </w:r>
    </w:p>
    <w:p>
      <w:pPr>
        <w:pStyle w:val="Heading1"/>
        <w:spacing w:after="140" w:before="320"/>
      </w:pPr>
      <w:r>
        <w:rPr>
          <w:rFonts w:ascii="Calibri" w:cs="Calibri" w:eastAsia="Calibri" w:hAnsi="Calibri"/>
          <w:b/>
          <w:bCs/>
          <w:color w:val="1F3864"/>
          <w:sz w:val="26"/>
          <w:szCs w:val="26"/>
        </w:rPr>
        <w:t xml:space="preserve">3. How We Collect Personal Data</w:t>
      </w:r>
    </w:p>
    <w:p>
      <w:pPr>
        <w:spacing w:after="140" w:line="276"/>
      </w:pPr>
      <w:r>
        <w:rPr>
          <w:rFonts w:ascii="Calibri" w:cs="Calibri" w:eastAsia="Calibri" w:hAnsi="Calibri"/>
          <w:b w:val="false"/>
          <w:bCs w:val="false"/>
          <w:i w:val="false"/>
          <w:iCs w:val="false"/>
          <w:sz w:val="21"/>
          <w:szCs w:val="21"/>
        </w:rPr>
        <w:t xml:space="preserve">We collect personal data directly from you when you register, update your profile, or communicate with us; automatically through your use of the Platform (e.g. login logs, audit logs); and, where relevant, from your Upline or Vendors in connection with a transaction you are party to.</w:t>
      </w:r>
    </w:p>
    <w:p>
      <w:pPr>
        <w:pStyle w:val="Heading1"/>
        <w:spacing w:after="140" w:before="320"/>
      </w:pPr>
      <w:r>
        <w:rPr>
          <w:rFonts w:ascii="Calibri" w:cs="Calibri" w:eastAsia="Calibri" w:hAnsi="Calibri"/>
          <w:b/>
          <w:bCs/>
          <w:color w:val="1F3864"/>
          <w:sz w:val="26"/>
          <w:szCs w:val="26"/>
        </w:rPr>
        <w:t xml:space="preserve">4. Purposes of Processing</w:t>
      </w:r>
    </w:p>
    <w:p>
      <w:pPr>
        <w:pStyle w:val="ListParagraph"/>
        <w:numPr>
          <w:ilvl w:val="0"/>
          <w:numId w:val="1"/>
        </w:numPr>
        <w:spacing w:after="80" w:line="276"/>
      </w:pPr>
      <w:r>
        <w:rPr>
          <w:rFonts w:ascii="Calibri" w:cs="Calibri" w:eastAsia="Calibri" w:hAnsi="Calibri"/>
          <w:sz w:val="21"/>
          <w:szCs w:val="21"/>
        </w:rPr>
        <w:t xml:space="preserve">To create and administer your Agent account and verify your identity.</w:t>
      </w:r>
    </w:p>
    <w:p>
      <w:pPr>
        <w:pStyle w:val="ListParagraph"/>
        <w:numPr>
          <w:ilvl w:val="0"/>
          <w:numId w:val="1"/>
        </w:numPr>
        <w:spacing w:after="80" w:line="276"/>
      </w:pPr>
      <w:r>
        <w:rPr>
          <w:rFonts w:ascii="Calibri" w:cs="Calibri" w:eastAsia="Calibri" w:hAnsi="Calibri"/>
          <w:sz w:val="21"/>
          <w:szCs w:val="21"/>
        </w:rPr>
        <w:t xml:space="preserve">To calculate, process, and pay Commission.</w:t>
      </w:r>
    </w:p>
    <w:p>
      <w:pPr>
        <w:pStyle w:val="ListParagraph"/>
        <w:numPr>
          <w:ilvl w:val="0"/>
          <w:numId w:val="1"/>
        </w:numPr>
        <w:spacing w:after="80" w:line="276"/>
      </w:pPr>
      <w:r>
        <w:rPr>
          <w:rFonts w:ascii="Calibri" w:cs="Calibri" w:eastAsia="Calibri" w:hAnsi="Calibri"/>
          <w:sz w:val="21"/>
          <w:szCs w:val="21"/>
        </w:rPr>
        <w:t xml:space="preserve">To operate the referral hierarchy, including automatic tier promotion.</w:t>
      </w:r>
    </w:p>
    <w:p>
      <w:pPr>
        <w:pStyle w:val="ListParagraph"/>
        <w:numPr>
          <w:ilvl w:val="0"/>
          <w:numId w:val="1"/>
        </w:numPr>
        <w:spacing w:after="80" w:line="276"/>
      </w:pPr>
      <w:r>
        <w:rPr>
          <w:rFonts w:ascii="Calibri" w:cs="Calibri" w:eastAsia="Calibri" w:hAnsi="Calibri"/>
          <w:sz w:val="21"/>
          <w:szCs w:val="21"/>
        </w:rPr>
        <w:t xml:space="preserve">To provide customer support, including through our AI assistant.</w:t>
      </w:r>
    </w:p>
    <w:p>
      <w:pPr>
        <w:pStyle w:val="ListParagraph"/>
        <w:numPr>
          <w:ilvl w:val="0"/>
          <w:numId w:val="1"/>
        </w:numPr>
        <w:spacing w:after="80" w:line="276"/>
      </w:pPr>
      <w:r>
        <w:rPr>
          <w:rFonts w:ascii="Calibri" w:cs="Calibri" w:eastAsia="Calibri" w:hAnsi="Calibri"/>
          <w:sz w:val="21"/>
          <w:szCs w:val="21"/>
        </w:rPr>
        <w:t xml:space="preserve">To detect, investigate, and prevent fraud, abuse, and security incidents.</w:t>
      </w:r>
    </w:p>
    <w:p>
      <w:pPr>
        <w:pStyle w:val="ListParagraph"/>
        <w:numPr>
          <w:ilvl w:val="0"/>
          <w:numId w:val="1"/>
        </w:numPr>
        <w:spacing w:after="80" w:line="276"/>
      </w:pPr>
      <w:r>
        <w:rPr>
          <w:rFonts w:ascii="Calibri" w:cs="Calibri" w:eastAsia="Calibri" w:hAnsi="Calibri"/>
          <w:sz w:val="21"/>
          <w:szCs w:val="21"/>
        </w:rPr>
        <w:t xml:space="preserve">To comply with legal, regulatory, and audit obligations.</w:t>
      </w:r>
    </w:p>
    <w:p>
      <w:pPr>
        <w:pStyle w:val="ListParagraph"/>
        <w:numPr>
          <w:ilvl w:val="0"/>
          <w:numId w:val="1"/>
        </w:numPr>
        <w:spacing w:after="80" w:line="276"/>
      </w:pPr>
      <w:r>
        <w:rPr>
          <w:rFonts w:ascii="Calibri" w:cs="Calibri" w:eastAsia="Calibri" w:hAnsi="Calibri"/>
          <w:sz w:val="21"/>
          <w:szCs w:val="21"/>
        </w:rPr>
        <w:t xml:space="preserve">To send you service communications and, where you have consented, marketing communications.</w:t>
      </w:r>
    </w:p>
    <w:p>
      <w:pPr>
        <w:pStyle w:val="Heading1"/>
        <w:spacing w:after="140" w:before="320"/>
      </w:pPr>
      <w:r>
        <w:rPr>
          <w:rFonts w:ascii="Calibri" w:cs="Calibri" w:eastAsia="Calibri" w:hAnsi="Calibri"/>
          <w:b/>
          <w:bCs/>
          <w:color w:val="1F3864"/>
          <w:sz w:val="26"/>
          <w:szCs w:val="26"/>
        </w:rPr>
        <w:t xml:space="preserve">5. Legal Basis and Consent</w:t>
      </w:r>
    </w:p>
    <w:p>
      <w:pPr>
        <w:spacing w:after="140" w:line="276"/>
      </w:pPr>
      <w:r>
        <w:rPr>
          <w:rFonts w:ascii="Calibri" w:cs="Calibri" w:eastAsia="Calibri" w:hAnsi="Calibri"/>
          <w:b w:val="false"/>
          <w:bCs w:val="false"/>
          <w:i w:val="false"/>
          <w:iCs w:val="false"/>
          <w:sz w:val="21"/>
          <w:szCs w:val="21"/>
        </w:rPr>
        <w:t xml:space="preserve">We process your personal data on the basis of your consent, given at registration and re-confirmed whenever these Legal Documents are materially updated; the necessity of processing to perform our contract with you as an Agent; and our legitimate interests in operating, securing, and improving the Platform, balanced against your rights.</w:t>
      </w:r>
    </w:p>
    <w:p>
      <w:pPr>
        <w:spacing w:after="140" w:line="276"/>
      </w:pPr>
      <w:r>
        <w:rPr>
          <w:rFonts w:ascii="Calibri" w:cs="Calibri" w:eastAsia="Calibri" w:hAnsi="Calibri"/>
          <w:b w:val="false"/>
          <w:bCs w:val="false"/>
          <w:i w:val="false"/>
          <w:iCs w:val="false"/>
          <w:sz w:val="21"/>
          <w:szCs w:val="21"/>
        </w:rPr>
        <w:t xml:space="preserve">You may withdraw consent for optional processing (such as marketing communications) at any time; this will not affect the lawfulness of processing carried out before withdrawal, nor will it allow you to withdraw consent to processing that is necessary for your Agent account to function.</w:t>
      </w:r>
    </w:p>
    <w:p>
      <w:pPr>
        <w:pStyle w:val="Heading1"/>
        <w:spacing w:after="140" w:before="320"/>
      </w:pPr>
      <w:r>
        <w:rPr>
          <w:rFonts w:ascii="Calibri" w:cs="Calibri" w:eastAsia="Calibri" w:hAnsi="Calibri"/>
          <w:b/>
          <w:bCs/>
          <w:color w:val="1F3864"/>
          <w:sz w:val="26"/>
          <w:szCs w:val="26"/>
        </w:rPr>
        <w:t xml:space="preserve">6. Disclosure of Personal Data</w:t>
      </w:r>
    </w:p>
    <w:p>
      <w:pPr>
        <w:spacing w:after="140" w:line="276"/>
      </w:pPr>
      <w:r>
        <w:rPr>
          <w:rFonts w:ascii="Calibri" w:cs="Calibri" w:eastAsia="Calibri" w:hAnsi="Calibri"/>
          <w:b w:val="false"/>
          <w:bCs w:val="false"/>
          <w:i w:val="false"/>
          <w:iCs w:val="false"/>
          <w:sz w:val="21"/>
          <w:szCs w:val="21"/>
        </w:rPr>
        <w:t xml:space="preserve">We may disclose personal data to: Vendors, strictly to the extent necessary to process a transaction you or your referral are party to; payment processors and banks, to pay Commission; regulators, courts, or law enforcement, where legally required; and service providers who process data on our behalf (e.g. cloud hosting, AI service providers you have chosen to connect your own account to) under appropriate confidentiality and data protection terms.</w:t>
      </w:r>
    </w:p>
    <w:p>
      <w:pPr>
        <w:spacing w:after="140" w:line="276"/>
      </w:pPr>
      <w:r>
        <w:rPr>
          <w:rFonts w:ascii="Calibri" w:cs="Calibri" w:eastAsia="Calibri" w:hAnsi="Calibri"/>
          <w:b w:val="false"/>
          <w:bCs w:val="false"/>
          <w:i w:val="false"/>
          <w:iCs w:val="false"/>
          <w:sz w:val="21"/>
          <w:szCs w:val="21"/>
        </w:rPr>
        <w:t xml:space="preserve">We do not sell personal data to third parties.</w:t>
      </w:r>
    </w:p>
    <w:p>
      <w:pPr>
        <w:pStyle w:val="Heading1"/>
        <w:spacing w:after="140" w:before="320"/>
      </w:pPr>
      <w:r>
        <w:rPr>
          <w:rFonts w:ascii="Calibri" w:cs="Calibri" w:eastAsia="Calibri" w:hAnsi="Calibri"/>
          <w:b/>
          <w:bCs/>
          <w:color w:val="1F3864"/>
          <w:sz w:val="26"/>
          <w:szCs w:val="26"/>
        </w:rPr>
        <w:t xml:space="preserve">7. Cross-Border Data Transfers</w:t>
      </w:r>
    </w:p>
    <w:p>
      <w:pPr>
        <w:spacing w:after="140" w:line="276"/>
      </w:pPr>
      <w:r>
        <w:rPr>
          <w:rFonts w:ascii="Calibri" w:cs="Calibri" w:eastAsia="Calibri" w:hAnsi="Calibri"/>
          <w:b w:val="false"/>
          <w:bCs w:val="false"/>
          <w:i w:val="false"/>
          <w:iCs w:val="false"/>
          <w:sz w:val="21"/>
          <w:szCs w:val="21"/>
        </w:rPr>
        <w:t xml:space="preserve">Where personal data is transferred outside Malaysia (for example, to a cloud service provider or an AI service you have connected your own account to), we assess the receiving jurisdiction under the risk-based framework introduced by the 2024 PDPA amendment — permitting transfer where the recipient jurisdiction has substantially similar protection, or where an applicable exception under the PDPA applies — and put in place appropriate contractual or technical safeguards.</w:t>
      </w:r>
    </w:p>
    <w:p>
      <w:pPr>
        <w:pStyle w:val="Heading1"/>
        <w:spacing w:after="140" w:before="320"/>
      </w:pPr>
      <w:r>
        <w:rPr>
          <w:rFonts w:ascii="Calibri" w:cs="Calibri" w:eastAsia="Calibri" w:hAnsi="Calibri"/>
          <w:b/>
          <w:bCs/>
          <w:color w:val="1F3864"/>
          <w:sz w:val="26"/>
          <w:szCs w:val="26"/>
        </w:rPr>
        <w:t xml:space="preserve">8. Digital Consent Records</w:t>
      </w:r>
    </w:p>
    <w:p>
      <w:pPr>
        <w:spacing w:after="140" w:line="276"/>
      </w:pPr>
      <w:r>
        <w:rPr>
          <w:rFonts w:ascii="Calibri" w:cs="Calibri" w:eastAsia="Calibri" w:hAnsi="Calibri"/>
          <w:b w:val="false"/>
          <w:bCs w:val="false"/>
          <w:i w:val="false"/>
          <w:iCs w:val="false"/>
          <w:sz w:val="21"/>
          <w:szCs w:val="21"/>
        </w:rPr>
        <w:t xml:space="preserve">When you accept these Legal Documents, we create a permanent, immutable consent record containing a unique consent identifier, your Agent/user ID, the document versions accepted, the date and time of acceptance, and technical details of the device and connection used to give consent. These records are retained as evidence of consent and are never overwritten; each re-acceptance creates a new record. You may view your consent history and download a consent certificate from the Legal Documents section of your account.</w:t>
      </w:r>
    </w:p>
    <w:p>
      <w:pPr>
        <w:pStyle w:val="Heading1"/>
        <w:spacing w:after="140" w:before="320"/>
      </w:pPr>
      <w:r>
        <w:rPr>
          <w:rFonts w:ascii="Calibri" w:cs="Calibri" w:eastAsia="Calibri" w:hAnsi="Calibri"/>
          <w:b/>
          <w:bCs/>
          <w:color w:val="1F3864"/>
          <w:sz w:val="26"/>
          <w:szCs w:val="26"/>
        </w:rPr>
        <w:t xml:space="preserve">9. Data Retention</w:t>
      </w:r>
    </w:p>
    <w:p>
      <w:pPr>
        <w:spacing w:after="140" w:line="276"/>
      </w:pPr>
      <w:r>
        <w:rPr>
          <w:rFonts w:ascii="Calibri" w:cs="Calibri" w:eastAsia="Calibri" w:hAnsi="Calibri"/>
          <w:b w:val="false"/>
          <w:bCs w:val="false"/>
          <w:i w:val="false"/>
          <w:iCs w:val="false"/>
          <w:sz w:val="21"/>
          <w:szCs w:val="21"/>
        </w:rPr>
        <w:t xml:space="preserve">We retain personal data for as long as your account is active and thereafter for the period necessary to comply with legal, regulatory, tax, and audit requirements, or to resolve disputes. Older records in append-only logs (such as audit and login records) are archived out of active systems on a scheduled basis but are not deleted where retention is required by law.</w:t>
      </w:r>
    </w:p>
    <w:p>
      <w:pPr>
        <w:pStyle w:val="Heading1"/>
        <w:spacing w:after="140" w:before="320"/>
      </w:pPr>
      <w:r>
        <w:rPr>
          <w:rFonts w:ascii="Calibri" w:cs="Calibri" w:eastAsia="Calibri" w:hAnsi="Calibri"/>
          <w:b/>
          <w:bCs/>
          <w:color w:val="1F3864"/>
          <w:sz w:val="26"/>
          <w:szCs w:val="26"/>
        </w:rPr>
        <w:t xml:space="preserve">10. Data Security</w:t>
      </w:r>
    </w:p>
    <w:p>
      <w:pPr>
        <w:spacing w:after="140" w:line="276"/>
      </w:pPr>
      <w:r>
        <w:rPr>
          <w:rFonts w:ascii="Calibri" w:cs="Calibri" w:eastAsia="Calibri" w:hAnsi="Calibri"/>
          <w:b w:val="false"/>
          <w:bCs w:val="false"/>
          <w:i w:val="false"/>
          <w:iCs w:val="false"/>
          <w:sz w:val="21"/>
          <w:szCs w:val="21"/>
        </w:rPr>
        <w:t xml:space="preserve">We apply technical and organisational measures appropriate to the sensitivity of the data, including encryption of sensitive fields at rest, access controls scoped to each Agent’s role and hierarchy position, and audit logging of access to personal data. No system can be guaranteed 100% secure, and we continuously review our safeguards.</w:t>
      </w:r>
    </w:p>
    <w:p>
      <w:pPr>
        <w:pStyle w:val="Heading1"/>
        <w:spacing w:after="140" w:before="320"/>
      </w:pPr>
      <w:r>
        <w:rPr>
          <w:rFonts w:ascii="Calibri" w:cs="Calibri" w:eastAsia="Calibri" w:hAnsi="Calibri"/>
          <w:b/>
          <w:bCs/>
          <w:color w:val="1F3864"/>
          <w:sz w:val="26"/>
          <w:szCs w:val="26"/>
        </w:rPr>
        <w:t xml:space="preserve">11. Data Breach Notification</w:t>
      </w:r>
    </w:p>
    <w:p>
      <w:pPr>
        <w:spacing w:after="140" w:line="276"/>
      </w:pPr>
      <w:r>
        <w:rPr>
          <w:rFonts w:ascii="Calibri" w:cs="Calibri" w:eastAsia="Calibri" w:hAnsi="Calibri"/>
          <w:b w:val="false"/>
          <w:bCs w:val="false"/>
          <w:i w:val="false"/>
          <w:iCs w:val="false"/>
          <w:sz w:val="21"/>
          <w:szCs w:val="21"/>
        </w:rPr>
        <w:t xml:space="preserve">In line with the 2024 PDPA amendment, if we have reason to believe a personal data breach has occurred, we will notify the Personal Data Protection Commissioner as soon as practicable, and where the breach is likely to cause significant harm, we will notify affected individuals without unnecessary delay.</w:t>
      </w:r>
    </w:p>
    <w:p>
      <w:pPr>
        <w:pStyle w:val="Heading1"/>
        <w:spacing w:after="140" w:before="320"/>
      </w:pPr>
      <w:r>
        <w:rPr>
          <w:rFonts w:ascii="Calibri" w:cs="Calibri" w:eastAsia="Calibri" w:hAnsi="Calibri"/>
          <w:b/>
          <w:bCs/>
          <w:color w:val="1F3864"/>
          <w:sz w:val="26"/>
          <w:szCs w:val="26"/>
        </w:rPr>
        <w:t xml:space="preserve">12. Data Protection Officer</w:t>
      </w:r>
    </w:p>
    <w:p>
      <w:pPr>
        <w:spacing w:after="140" w:line="276"/>
      </w:pPr>
      <w:r>
        <w:rPr>
          <w:rFonts w:ascii="Calibri" w:cs="Calibri" w:eastAsia="Calibri" w:hAnsi="Calibri"/>
          <w:b w:val="false"/>
          <w:bCs w:val="false"/>
          <w:i w:val="false"/>
          <w:iCs w:val="false"/>
          <w:sz w:val="21"/>
          <w:szCs w:val="21"/>
        </w:rPr>
        <w:t xml:space="preserve">GeneralLink has appointed (or will appoint, in line with the 2024 PDPA amendment’s mandatory DPO requirement) a Data Protection Officer, contactable at [DPO CONTACT EMAIL], to handle privacy-related queries and requests.</w:t>
      </w:r>
    </w:p>
    <w:p>
      <w:pPr>
        <w:pStyle w:val="Heading1"/>
        <w:spacing w:after="140" w:before="320"/>
      </w:pPr>
      <w:r>
        <w:rPr>
          <w:rFonts w:ascii="Calibri" w:cs="Calibri" w:eastAsia="Calibri" w:hAnsi="Calibri"/>
          <w:b/>
          <w:bCs/>
          <w:color w:val="1F3864"/>
          <w:sz w:val="26"/>
          <w:szCs w:val="26"/>
        </w:rPr>
        <w:t xml:space="preserve">13. Your Rights</w:t>
      </w:r>
    </w:p>
    <w:p>
      <w:pPr>
        <w:pStyle w:val="ListParagraph"/>
        <w:numPr>
          <w:ilvl w:val="0"/>
          <w:numId w:val="1"/>
        </w:numPr>
        <w:spacing w:after="80" w:line="276"/>
      </w:pPr>
      <w:r>
        <w:rPr>
          <w:rFonts w:ascii="Calibri" w:cs="Calibri" w:eastAsia="Calibri" w:hAnsi="Calibri"/>
          <w:sz w:val="21"/>
          <w:szCs w:val="21"/>
        </w:rPr>
        <w:t xml:space="preserve">Right to access the personal data we hold about you.</w:t>
      </w:r>
    </w:p>
    <w:p>
      <w:pPr>
        <w:pStyle w:val="ListParagraph"/>
        <w:numPr>
          <w:ilvl w:val="0"/>
          <w:numId w:val="1"/>
        </w:numPr>
        <w:spacing w:after="80" w:line="276"/>
      </w:pPr>
      <w:r>
        <w:rPr>
          <w:rFonts w:ascii="Calibri" w:cs="Calibri" w:eastAsia="Calibri" w:hAnsi="Calibri"/>
          <w:sz w:val="21"/>
          <w:szCs w:val="21"/>
        </w:rPr>
        <w:t xml:space="preserve">Right to correct inaccurate or incomplete personal data.</w:t>
      </w:r>
    </w:p>
    <w:p>
      <w:pPr>
        <w:pStyle w:val="ListParagraph"/>
        <w:numPr>
          <w:ilvl w:val="0"/>
          <w:numId w:val="1"/>
        </w:numPr>
        <w:spacing w:after="80" w:line="276"/>
      </w:pPr>
      <w:r>
        <w:rPr>
          <w:rFonts w:ascii="Calibri" w:cs="Calibri" w:eastAsia="Calibri" w:hAnsi="Calibri"/>
          <w:sz w:val="21"/>
          <w:szCs w:val="21"/>
        </w:rPr>
        <w:t xml:space="preserve">Right to withdraw consent for optional processing.</w:t>
      </w:r>
    </w:p>
    <w:p>
      <w:pPr>
        <w:pStyle w:val="ListParagraph"/>
        <w:numPr>
          <w:ilvl w:val="0"/>
          <w:numId w:val="1"/>
        </w:numPr>
        <w:spacing w:after="80" w:line="276"/>
      </w:pPr>
      <w:r>
        <w:rPr>
          <w:rFonts w:ascii="Calibri" w:cs="Calibri" w:eastAsia="Calibri" w:hAnsi="Calibri"/>
          <w:sz w:val="21"/>
          <w:szCs w:val="21"/>
        </w:rPr>
        <w:t xml:space="preserve">Right to data portability — to request that certain personal data be transmitted directly to another data controller, where technically feasible, per the 2024 PDPA amendment.</w:t>
      </w:r>
    </w:p>
    <w:p>
      <w:pPr>
        <w:pStyle w:val="ListParagraph"/>
        <w:numPr>
          <w:ilvl w:val="0"/>
          <w:numId w:val="1"/>
        </w:numPr>
        <w:spacing w:after="80" w:line="276"/>
      </w:pPr>
      <w:r>
        <w:rPr>
          <w:rFonts w:ascii="Calibri" w:cs="Calibri" w:eastAsia="Calibri" w:hAnsi="Calibri"/>
          <w:sz w:val="21"/>
          <w:szCs w:val="21"/>
        </w:rPr>
        <w:t xml:space="preserve">Right to lodge a complaint with the Personal Data Protection Commissioner of Malaysia.</w:t>
      </w:r>
    </w:p>
    <w:p>
      <w:pPr>
        <w:spacing w:after="140" w:line="276"/>
      </w:pPr>
      <w:r>
        <w:rPr>
          <w:rFonts w:ascii="Calibri" w:cs="Calibri" w:eastAsia="Calibri" w:hAnsi="Calibri"/>
          <w:b w:val="false"/>
          <w:bCs w:val="false"/>
          <w:i w:val="false"/>
          <w:iCs w:val="false"/>
          <w:sz w:val="21"/>
          <w:szCs w:val="21"/>
        </w:rPr>
        <w:t xml:space="preserve">Requests can be made through the Legal Documents / Privacy section of your account, or by contacting [CONTACT EMAIL].</w:t>
      </w:r>
    </w:p>
    <w:p>
      <w:pPr>
        <w:pStyle w:val="Heading1"/>
        <w:spacing w:after="140" w:before="320"/>
      </w:pPr>
      <w:r>
        <w:rPr>
          <w:rFonts w:ascii="Calibri" w:cs="Calibri" w:eastAsia="Calibri" w:hAnsi="Calibri"/>
          <w:b/>
          <w:bCs/>
          <w:color w:val="1F3864"/>
          <w:sz w:val="26"/>
          <w:szCs w:val="26"/>
        </w:rPr>
        <w:t xml:space="preserve">14. Cookies</w:t>
      </w:r>
    </w:p>
    <w:p>
      <w:pPr>
        <w:spacing w:after="140" w:line="276"/>
      </w:pPr>
      <w:r>
        <w:rPr>
          <w:rFonts w:ascii="Calibri" w:cs="Calibri" w:eastAsia="Calibri" w:hAnsi="Calibri"/>
          <w:b w:val="false"/>
          <w:bCs w:val="false"/>
          <w:i w:val="false"/>
          <w:iCs w:val="false"/>
          <w:sz w:val="21"/>
          <w:szCs w:val="21"/>
        </w:rPr>
        <w:t xml:space="preserve">Our use of cookies and similar technologies is described in our separate Cookie Policy.</w:t>
      </w:r>
    </w:p>
    <w:p>
      <w:pPr>
        <w:pStyle w:val="Heading1"/>
        <w:spacing w:after="140" w:before="320"/>
      </w:pPr>
      <w:r>
        <w:rPr>
          <w:rFonts w:ascii="Calibri" w:cs="Calibri" w:eastAsia="Calibri" w:hAnsi="Calibri"/>
          <w:b/>
          <w:bCs/>
          <w:color w:val="1F3864"/>
          <w:sz w:val="26"/>
          <w:szCs w:val="26"/>
        </w:rPr>
        <w:t xml:space="preserve">15. Children’s Privacy</w:t>
      </w:r>
    </w:p>
    <w:p>
      <w:pPr>
        <w:spacing w:after="140" w:line="276"/>
      </w:pPr>
      <w:r>
        <w:rPr>
          <w:rFonts w:ascii="Calibri" w:cs="Calibri" w:eastAsia="Calibri" w:hAnsi="Calibri"/>
          <w:b w:val="false"/>
          <w:bCs w:val="false"/>
          <w:i w:val="false"/>
          <w:iCs w:val="false"/>
          <w:sz w:val="21"/>
          <w:szCs w:val="21"/>
        </w:rPr>
        <w:t xml:space="preserve">The Platform is not directed at, and we do not knowingly collect personal data from, individuals under the age of 18.</w:t>
      </w:r>
    </w:p>
    <w:p>
      <w:pPr>
        <w:pStyle w:val="Heading1"/>
        <w:spacing w:after="140" w:before="320"/>
      </w:pPr>
      <w:r>
        <w:rPr>
          <w:rFonts w:ascii="Calibri" w:cs="Calibri" w:eastAsia="Calibri" w:hAnsi="Calibri"/>
          <w:b/>
          <w:bCs/>
          <w:color w:val="1F3864"/>
          <w:sz w:val="26"/>
          <w:szCs w:val="26"/>
        </w:rPr>
        <w:t xml:space="preserve">16. Changes to This Policy</w:t>
      </w:r>
    </w:p>
    <w:p>
      <w:pPr>
        <w:spacing w:after="140" w:line="276"/>
      </w:pPr>
      <w:r>
        <w:rPr>
          <w:rFonts w:ascii="Calibri" w:cs="Calibri" w:eastAsia="Calibri" w:hAnsi="Calibri"/>
          <w:b w:val="false"/>
          <w:bCs w:val="false"/>
          <w:i w:val="false"/>
          <w:iCs w:val="false"/>
          <w:sz w:val="21"/>
          <w:szCs w:val="21"/>
        </w:rPr>
        <w:t xml:space="preserve">We may update this Privacy Policy from time to time. Material changes will require you to review and re-accept the updated Policy before continuing to use the Platform, consistent with our version management and re-acceptance process.</w:t>
      </w:r>
    </w:p>
    <w:p>
      <w:pPr>
        <w:pStyle w:val="Heading1"/>
        <w:spacing w:after="140" w:before="320"/>
      </w:pPr>
      <w:r>
        <w:rPr>
          <w:rFonts w:ascii="Calibri" w:cs="Calibri" w:eastAsia="Calibri" w:hAnsi="Calibri"/>
          <w:b/>
          <w:bCs/>
          <w:color w:val="1F3864"/>
          <w:sz w:val="26"/>
          <w:szCs w:val="26"/>
        </w:rPr>
        <w:t xml:space="preserve">17. Contact Us</w:t>
      </w:r>
    </w:p>
    <w:p>
      <w:pPr>
        <w:spacing w:after="140" w:line="276"/>
      </w:pPr>
      <w:r>
        <w:rPr>
          <w:rFonts w:ascii="Calibri" w:cs="Calibri" w:eastAsia="Calibri" w:hAnsi="Calibri"/>
          <w:b w:val="false"/>
          <w:bCs w:val="false"/>
          <w:i w:val="false"/>
          <w:iCs w:val="false"/>
          <w:sz w:val="21"/>
          <w:szCs w:val="21"/>
        </w:rPr>
        <w:t xml:space="preserve">For questions or requests regarding this Privacy Policy, please contact [COMPANY NAME] at [CONTACT EMAIL], or our Data Protection Officer at [DPO CONTACT EMAIL].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spacing w:before="100"/>
      <w:jc w:val="center"/>
    </w:pPr>
    <w:r>
      <w:rPr>
        <w:rFonts w:ascii="Calibri" w:cs="Calibri" w:eastAsia="Calibri" w:hAnsi="Calibri"/>
        <w:color w:val="595959"/>
        <w:sz w:val="15"/>
        <w:szCs w:val="15"/>
      </w:rPr>
      <w:t xml:space="preserve">GLADE — Privacy Policy — DRAFT for legal review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C00000"/>
        <w:sz w:val="15"/>
        <w:szCs w:val="15"/>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2026-08-05T07:03:20.414Z</dcterms:created>
  <dcterms:modified xsi:type="dcterms:W3CDTF">2026-08-05T07:03:20.414Z</dcterms:modified>
</cp:coreProperties>
</file>

<file path=docProps/custom.xml><?xml version="1.0" encoding="utf-8"?>
<Properties xmlns="http://schemas.openxmlformats.org/officeDocument/2006/custom-properties" xmlns:vt="http://schemas.openxmlformats.org/officeDocument/2006/docPropsVTypes"/>
</file>