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F3864"/>
          <w:spacing w:val="20"/>
          <w:sz w:val="20"/>
          <w:szCs w:val="20"/>
        </w:rPr>
        <w:t xml:space="preserve">GLADE</w:t>
      </w:r>
    </w:p>
    <w:p>
      <w:pPr>
        <w:spacing w:after="300"/>
      </w:pPr>
      <w:r>
        <w:rPr>
          <w:rFonts w:ascii="Calibri" w:cs="Calibri" w:eastAsia="Calibri" w:hAnsi="Calibri"/>
          <w:i/>
          <w:iCs/>
          <w:color w:val="595959"/>
          <w:sz w:val="18"/>
          <w:szCs w:val="18"/>
        </w:rPr>
        <w:t xml:space="preserve">GeneralLink Affiliate Digital Ecosystem</w:t>
      </w:r>
    </w:p>
    <w:p>
      <w:pPr>
        <w:spacing w:after="120"/>
      </w:pPr>
      <w:r>
        <w:rPr>
          <w:rFonts w:ascii="Calibri" w:cs="Calibri" w:eastAsia="Calibri" w:hAnsi="Calibri"/>
          <w:b/>
          <w:bCs/>
          <w:color w:val="1F3864"/>
          <w:sz w:val="44"/>
          <w:szCs w:val="44"/>
        </w:rPr>
        <w:t xml:space="preserve">Terms &amp; Conditions</w:t>
      </w:r>
    </w:p>
    <w:p>
      <w:pPr>
        <w:spacing w:after="300"/>
      </w:pPr>
      <w:r>
        <w:rPr>
          <w:rFonts w:ascii="Calibri" w:cs="Calibri" w:eastAsia="Calibri" w:hAnsi="Calibri"/>
          <w:color w:val="595959"/>
          <w:sz w:val="22"/>
          <w:szCs w:val="22"/>
        </w:rPr>
        <w:t xml:space="preserve">Governing your access to and use of the GLADE Platform, including the Referral &amp; Commission Program</w:t>
      </w:r>
    </w:p>
    <w:tbl>
      <w:tblPr>
        <w:tblW w:type="pct" w:w="100%"/>
        <w:tblBorders>
          <w:top w:val="single" w:color="D9D9D9" w:sz="4"/>
          <w:left w:val="none"/>
          <w:bottom w:val="single" w:color="D9D9D9" w:sz="4"/>
          <w:right w:val="none"/>
          <w:insideH w:val="single" w:color="D9D9D9" w:sz="4"/>
          <w:insideV w:val="none"/>
        </w:tblBorders>
      </w:tblPr>
      <w:tblGrid>
        <w:gridCol w:w="3000"/>
        <w:gridCol w:w="6500"/>
      </w:tblGrid>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Document Status</w:t>
            </w:r>
          </w:p>
        </w:tc>
        <w:tc>
          <w:tcPr>
            <w:tcW w:type="dxa" w:w="6500"/>
            <w:tcMar>
              <w:top w:type="dxa" w:w="80"/>
              <w:left w:type="dxa" w:w="100"/>
              <w:bottom w:type="dxa" w:w="80"/>
              <w:right w:type="dxa" w:w="100"/>
            </w:tcMar>
            <w:vAlign w:val="center"/>
          </w:tcPr>
          <w:p>
            <w:r>
              <w:rPr>
                <w:rFonts w:ascii="Calibri" w:cs="Calibri" w:eastAsia="Calibri" w:hAnsi="Calibri"/>
                <w:b/>
                <w:bCs/>
                <w:color w:val="C00000"/>
                <w:sz w:val="18"/>
                <w:szCs w:val="18"/>
              </w:rPr>
              <w:t xml:space="preserve">DRAFT — PREPARED FOR LEGAL REVIEW. NOT YET APPROVED OR LEGALLY BINDING.</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Version</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Version 1.0</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Effective Date</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[TO BE CONFIRMED UPON LEGAL APPROVAL]</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Governing Law</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Malaysia</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Prepared For</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[COMPANY NAME] (registration in progress — legal entity name to be inserted once available)</w:t>
            </w:r>
          </w:p>
        </w:tc>
      </w:tr>
    </w:tbl>
    <w:p>
      <w:pPr>
        <w:pBdr>
          <w:bottom w:val="single" w:color="1F3864" w:sz="6"/>
        </w:pBdr>
        <w:spacing w:after="300" w:before="300"/>
      </w:pPr>
    </w:p>
    <w:p>
      <w:pPr>
        <w:pStyle w:val="Heading1"/>
        <w:spacing w:after="140" w:before="320"/>
      </w:pPr>
      <w:r>
        <w:rPr>
          <w:rFonts w:ascii="Calibri" w:cs="Calibri" w:eastAsia="Calibri" w:hAnsi="Calibri"/>
          <w:b/>
          <w:bCs/>
          <w:color w:val="1F3864"/>
          <w:sz w:val="26"/>
          <w:szCs w:val="26"/>
        </w:rPr>
        <w:t xml:space="preserve">1. Introduction and Acceptance</w:t>
      </w:r>
    </w:p>
    <w:p>
      <w:pPr>
        <w:spacing w:after="140" w:line="276"/>
      </w:pPr>
      <w:r>
        <w:rPr>
          <w:rFonts w:ascii="Calibri" w:cs="Calibri" w:eastAsia="Calibri" w:hAnsi="Calibri"/>
          <w:b w:val="false"/>
          <w:bCs w:val="false"/>
          <w:i w:val="false"/>
          <w:iCs w:val="false"/>
          <w:sz w:val="21"/>
          <w:szCs w:val="21"/>
        </w:rPr>
        <w:t xml:space="preserve">These Terms &amp; Conditions ("Terms") govern access to and use of GLADE (the "Platform"), the GeneralLink Affiliate Digital Ecosystem, operated by [COMPANY NAME] ("GeneralLink", "we", "us", or "our") — including your participation in GeneralLink’s referral and commission program, covered in Part B below.</w:t>
      </w:r>
    </w:p>
    <w:p>
      <w:pPr>
        <w:spacing w:after="140" w:line="276"/>
      </w:pPr>
      <w:r>
        <w:rPr>
          <w:rFonts w:ascii="Calibri" w:cs="Calibri" w:eastAsia="Calibri" w:hAnsi="Calibri"/>
          <w:b w:val="false"/>
          <w:bCs w:val="false"/>
          <w:i w:val="false"/>
          <w:iCs w:val="false"/>
          <w:sz w:val="21"/>
          <w:szCs w:val="21"/>
        </w:rPr>
        <w:t xml:space="preserve">By creating an account, ticking the acceptance box at registration, or otherwise accessing or using the Platform, you ("Agent", "you", "your") confirm that you have read, understood, and agree to be bound by these Terms and our separate Privacy Policy. Our Cookie Policy separately governs the use of cookies on the Platform. If you do not agree to these Terms, you must not register for or use the Platform.</w:t>
      </w:r>
    </w:p>
    <w:p>
      <w:pPr>
        <w:spacing w:after="140" w:line="276"/>
      </w:pPr>
      <w:r>
        <w:rPr>
          <w:rFonts w:ascii="Calibri" w:cs="Calibri" w:eastAsia="Calibri" w:hAnsi="Calibri"/>
          <w:b w:val="false"/>
          <w:bCs w:val="false"/>
          <w:i w:val="false"/>
          <w:iCs w:val="false"/>
          <w:sz w:val="21"/>
          <w:szCs w:val="21"/>
        </w:rPr>
        <w:t xml:space="preserve">If you are entering into these Terms on behalf of a company or other legal entity, you represent that you have the authority to bind that entity, in which case "you" refers to that entity.</w:t>
      </w:r>
    </w:p>
    <w:p>
      <w:pPr>
        <w:pStyle w:val="Heading1"/>
        <w:spacing w:after="140" w:before="320"/>
      </w:pPr>
      <w:r>
        <w:rPr>
          <w:rFonts w:ascii="Calibri" w:cs="Calibri" w:eastAsia="Calibri" w:hAnsi="Calibri"/>
          <w:b/>
          <w:bCs/>
          <w:color w:val="1F3864"/>
          <w:sz w:val="26"/>
          <w:szCs w:val="26"/>
        </w:rPr>
        <w:t xml:space="preserve">2. Definitions</w:t>
      </w:r>
    </w:p>
    <w:p>
      <w:pPr>
        <w:pStyle w:val="ListParagraph"/>
        <w:numPr>
          <w:ilvl w:val="0"/>
          <w:numId w:val="1"/>
        </w:numPr>
        <w:spacing w:after="80" w:line="276"/>
      </w:pPr>
      <w:r>
        <w:rPr>
          <w:rFonts w:ascii="Calibri" w:cs="Calibri" w:eastAsia="Calibri" w:hAnsi="Calibri"/>
          <w:sz w:val="21"/>
          <w:szCs w:val="21"/>
        </w:rPr>
        <w:t xml:space="preserve">"Agent" means any individual registered on the Platform, regardless of tier (Introducer, Team Leader, Group Leader) or Admin status.</w:t>
      </w:r>
    </w:p>
    <w:p>
      <w:pPr>
        <w:pStyle w:val="ListParagraph"/>
        <w:numPr>
          <w:ilvl w:val="0"/>
          <w:numId w:val="1"/>
        </w:numPr>
        <w:spacing w:after="80" w:line="276"/>
      </w:pPr>
      <w:r>
        <w:rPr>
          <w:rFonts w:ascii="Calibri" w:cs="Calibri" w:eastAsia="Calibri" w:hAnsi="Calibri"/>
          <w:sz w:val="21"/>
          <w:szCs w:val="21"/>
        </w:rPr>
        <w:t xml:space="preserve">"Introducer", "Team Leader (TL)", and "Group Leader (GL)" refer to the tiered Agent roles under GeneralLink’s referral program.</w:t>
      </w:r>
    </w:p>
    <w:p>
      <w:pPr>
        <w:pStyle w:val="ListParagraph"/>
        <w:numPr>
          <w:ilvl w:val="0"/>
          <w:numId w:val="1"/>
        </w:numPr>
        <w:spacing w:after="80" w:line="276"/>
      </w:pPr>
      <w:r>
        <w:rPr>
          <w:rFonts w:ascii="Calibri" w:cs="Calibri" w:eastAsia="Calibri" w:hAnsi="Calibri"/>
          <w:sz w:val="21"/>
          <w:szCs w:val="21"/>
        </w:rPr>
        <w:t xml:space="preserve">"Vendor" means a third party whose products or services are made available through the Platform for Agents to promote.</w:t>
      </w:r>
    </w:p>
    <w:p>
      <w:pPr>
        <w:pStyle w:val="ListParagraph"/>
        <w:numPr>
          <w:ilvl w:val="0"/>
          <w:numId w:val="1"/>
        </w:numPr>
        <w:spacing w:after="80" w:line="276"/>
      </w:pPr>
      <w:r>
        <w:rPr>
          <w:rFonts w:ascii="Calibri" w:cs="Calibri" w:eastAsia="Calibri" w:hAnsi="Calibri"/>
          <w:sz w:val="21"/>
          <w:szCs w:val="21"/>
        </w:rPr>
        <w:t xml:space="preserve">"Commission" means any monetary amount payable to an Agent for a qualifying transaction, calculated under the then-current Commission Schedule.</w:t>
      </w:r>
    </w:p>
    <w:p>
      <w:pPr>
        <w:pStyle w:val="ListParagraph"/>
        <w:numPr>
          <w:ilvl w:val="0"/>
          <w:numId w:val="1"/>
        </w:numPr>
        <w:spacing w:after="80" w:line="276"/>
      </w:pPr>
      <w:r>
        <w:rPr>
          <w:rFonts w:ascii="Calibri" w:cs="Calibri" w:eastAsia="Calibri" w:hAnsi="Calibri"/>
          <w:sz w:val="21"/>
          <w:szCs w:val="21"/>
        </w:rPr>
        <w:t xml:space="preserve">"Upline" means the Agent(s) positioned above a given Agent in the referral hierarchy at the time of that Agent’s registration.</w:t>
      </w:r>
    </w:p>
    <w:p>
      <w:pPr>
        <w:pStyle w:val="Heading1"/>
        <w:spacing w:after="140" w:before="320"/>
      </w:pPr>
      <w:r>
        <w:rPr>
          <w:rFonts w:ascii="Calibri" w:cs="Calibri" w:eastAsia="Calibri" w:hAnsi="Calibri"/>
          <w:b/>
          <w:bCs/>
          <w:color w:val="1F3864"/>
          <w:sz w:val="26"/>
          <w:szCs w:val="26"/>
        </w:rPr>
        <w:t xml:space="preserve">PART A — GENERAL TERMS OF USE</w:t>
      </w:r>
    </w:p>
    <w:p>
      <w:pPr>
        <w:pStyle w:val="Heading1"/>
        <w:spacing w:after="140" w:before="320"/>
      </w:pPr>
      <w:r>
        <w:rPr>
          <w:rFonts w:ascii="Calibri" w:cs="Calibri" w:eastAsia="Calibri" w:hAnsi="Calibri"/>
          <w:b/>
          <w:bCs/>
          <w:color w:val="1F3864"/>
          <w:sz w:val="26"/>
          <w:szCs w:val="26"/>
        </w:rPr>
        <w:t xml:space="preserve">3. Eligibility and Registration</w:t>
      </w:r>
    </w:p>
    <w:p>
      <w:pPr>
        <w:spacing w:after="140" w:line="276"/>
      </w:pPr>
      <w:r>
        <w:rPr>
          <w:rFonts w:ascii="Calibri" w:cs="Calibri" w:eastAsia="Calibri" w:hAnsi="Calibri"/>
          <w:b w:val="false"/>
          <w:bCs w:val="false"/>
          <w:i w:val="false"/>
          <w:iCs w:val="false"/>
          <w:sz w:val="21"/>
          <w:szCs w:val="21"/>
        </w:rPr>
        <w:t xml:space="preserve">You must be at least 18 years of age and legally capable of entering into a binding contract under applicable law to register as an Agent. All new registrations begin at the Introducer tier; there are no exceptions to this rule. Your assigned Upline is permanent from the point of registration — see Section 8.</w:t>
      </w:r>
    </w:p>
    <w:p>
      <w:pPr>
        <w:spacing w:after="140" w:line="276"/>
      </w:pPr>
      <w:r>
        <w:rPr>
          <w:rFonts w:ascii="Calibri" w:cs="Calibri" w:eastAsia="Calibri" w:hAnsi="Calibri"/>
          <w:b w:val="false"/>
          <w:bCs w:val="false"/>
          <w:i w:val="false"/>
          <w:iCs w:val="false"/>
          <w:sz w:val="21"/>
          <w:szCs w:val="21"/>
        </w:rPr>
        <w:t xml:space="preserve">You agree to provide information that is true, accurate, and not false or misleading when registering and at all times while using the Platform, and to keep such information updated.</w:t>
      </w:r>
    </w:p>
    <w:p>
      <w:pPr>
        <w:pStyle w:val="Heading1"/>
        <w:spacing w:after="140" w:before="320"/>
      </w:pPr>
      <w:r>
        <w:rPr>
          <w:rFonts w:ascii="Calibri" w:cs="Calibri" w:eastAsia="Calibri" w:hAnsi="Calibri"/>
          <w:b/>
          <w:bCs/>
          <w:color w:val="1F3864"/>
          <w:sz w:val="26"/>
          <w:szCs w:val="26"/>
        </w:rPr>
        <w:t xml:space="preserve">4. Account Security</w:t>
      </w:r>
    </w:p>
    <w:p>
      <w:pPr>
        <w:spacing w:after="140" w:line="276"/>
      </w:pPr>
      <w:r>
        <w:rPr>
          <w:rFonts w:ascii="Calibri" w:cs="Calibri" w:eastAsia="Calibri" w:hAnsi="Calibri"/>
          <w:b w:val="false"/>
          <w:bCs w:val="false"/>
          <w:i w:val="false"/>
          <w:iCs w:val="false"/>
          <w:sz w:val="21"/>
          <w:szCs w:val="21"/>
        </w:rPr>
        <w:t xml:space="preserve">You are responsible for maintaining the confidentiality of your login credentials and for all activity that occurs under your account. You must notify us immediately of any unauthorized use of your account or any other breach of security.</w:t>
      </w:r>
    </w:p>
    <w:p>
      <w:pPr>
        <w:pStyle w:val="Heading1"/>
        <w:spacing w:after="140" w:before="320"/>
      </w:pPr>
      <w:r>
        <w:rPr>
          <w:rFonts w:ascii="Calibri" w:cs="Calibri" w:eastAsia="Calibri" w:hAnsi="Calibri"/>
          <w:b/>
          <w:bCs/>
          <w:color w:val="1F3864"/>
          <w:sz w:val="26"/>
          <w:szCs w:val="26"/>
        </w:rPr>
        <w:t xml:space="preserve">5. Conduct, Integrity and Compliance</w:t>
      </w:r>
    </w:p>
    <w:p>
      <w:pPr>
        <w:spacing w:after="140" w:line="276"/>
      </w:pPr>
      <w:r>
        <w:rPr>
          <w:rFonts w:ascii="Calibri" w:cs="Calibri" w:eastAsia="Calibri" w:hAnsi="Calibri"/>
          <w:b w:val="false"/>
          <w:bCs w:val="false"/>
          <w:i w:val="false"/>
          <w:iCs w:val="false"/>
          <w:sz w:val="21"/>
          <w:szCs w:val="21"/>
        </w:rPr>
        <w:t xml:space="preserve">You must deal with GeneralLink, other Agents, customers, and Vendors honestly and in accordance with good business ethics and integrity at all times. Without limitation, you agree not to: misrepresent your relationship with GeneralLink or any Vendor; engage in fraudulent, deceptive, or misleading practices (including misleading earnings claims); submit false or manipulated data to inflate Commission; attempt to circumvent the Upline/hierarchy structure; use the Platform for any unlawful purpose; or interfere with or disrupt the integrity or performance of the Platform.</w:t>
      </w:r>
    </w:p>
    <w:p>
      <w:pPr>
        <w:spacing w:after="140" w:line="276"/>
      </w:pPr>
      <w:r>
        <w:rPr>
          <w:rFonts w:ascii="Calibri" w:cs="Calibri" w:eastAsia="Calibri" w:hAnsi="Calibri"/>
          <w:b w:val="false"/>
          <w:bCs w:val="false"/>
          <w:i w:val="false"/>
          <w:iCs w:val="false"/>
          <w:sz w:val="21"/>
          <w:szCs w:val="21"/>
        </w:rPr>
        <w:t xml:space="preserve">All products, services, and access made available through the Platform are strictly subject to, and guarded by, the applicable laws of Malaysia. GeneralLink does not assume, and expressly disclaims, any responsibility or liability on behalf of an Agent for that Agent’s own violation of applicable law or these Terms — responsibility and liability for such conduct rests solely with the Agent responsible for it.</w:t>
      </w:r>
    </w:p>
    <w:p>
      <w:pPr>
        <w:pStyle w:val="Heading1"/>
        <w:spacing w:after="140" w:before="320"/>
      </w:pPr>
      <w:r>
        <w:rPr>
          <w:rFonts w:ascii="Calibri" w:cs="Calibri" w:eastAsia="Calibri" w:hAnsi="Calibri"/>
          <w:b/>
          <w:bCs/>
          <w:color w:val="1F3864"/>
          <w:sz w:val="26"/>
          <w:szCs w:val="26"/>
        </w:rPr>
        <w:t xml:space="preserve">6. Vendor Products and Third-Party Offers</w:t>
      </w:r>
    </w:p>
    <w:p>
      <w:pPr>
        <w:spacing w:after="140" w:line="276"/>
      </w:pPr>
      <w:r>
        <w:rPr>
          <w:rFonts w:ascii="Calibri" w:cs="Calibri" w:eastAsia="Calibri" w:hAnsi="Calibri"/>
          <w:b w:val="false"/>
          <w:bCs w:val="false"/>
          <w:i w:val="false"/>
          <w:iCs w:val="false"/>
          <w:sz w:val="21"/>
          <w:szCs w:val="21"/>
        </w:rPr>
        <w:t xml:space="preserve">GLADE is a marketplace ecosystem: products and services promoted through the Platform are supplied by independent Vendors, not by GeneralLink. GeneralLink does not manufacture, warrant, or guarantee any Vendor product or service, and is not a party to any transaction between a customer and a Vendor. Any dispute regarding a Vendor product must be resolved directly with that Vendor, subject to the Vendor’s own terms.</w:t>
      </w:r>
    </w:p>
    <w:p>
      <w:pPr>
        <w:pStyle w:val="Heading1"/>
        <w:spacing w:after="140" w:before="320"/>
      </w:pPr>
      <w:r>
        <w:rPr>
          <w:rFonts w:ascii="Calibri" w:cs="Calibri" w:eastAsia="Calibri" w:hAnsi="Calibri"/>
          <w:b/>
          <w:bCs/>
          <w:color w:val="1F3864"/>
          <w:sz w:val="26"/>
          <w:szCs w:val="26"/>
        </w:rPr>
        <w:t xml:space="preserve">7. Intellectual Property</w:t>
      </w:r>
    </w:p>
    <w:p>
      <w:pPr>
        <w:spacing w:after="140" w:line="276"/>
      </w:pPr>
      <w:r>
        <w:rPr>
          <w:rFonts w:ascii="Calibri" w:cs="Calibri" w:eastAsia="Calibri" w:hAnsi="Calibri"/>
          <w:b w:val="false"/>
          <w:bCs w:val="false"/>
          <w:i w:val="false"/>
          <w:iCs w:val="false"/>
          <w:sz w:val="21"/>
          <w:szCs w:val="21"/>
        </w:rPr>
        <w:t xml:space="preserve">The Platform, including its software, design, trademarks, and content (excluding Vendor-supplied material), is owned by or licensed to GeneralLink and is protected by applicable intellectual property laws. You are granted a limited, non-exclusive, non-transferable license to use the Platform solely for its intended purpose as an Agent.</w:t>
      </w:r>
    </w:p>
    <w:p>
      <w:pPr>
        <w:pStyle w:val="Heading1"/>
        <w:spacing w:after="140" w:before="320"/>
      </w:pPr>
      <w:r>
        <w:rPr>
          <w:rFonts w:ascii="Calibri" w:cs="Calibri" w:eastAsia="Calibri" w:hAnsi="Calibri"/>
          <w:b/>
          <w:bCs/>
          <w:color w:val="1F3864"/>
          <w:sz w:val="26"/>
          <w:szCs w:val="26"/>
        </w:rPr>
        <w:t xml:space="preserve">PART B — REFERRAL &amp; COMMISSION PROGRAM</w:t>
      </w:r>
    </w:p>
    <w:p>
      <w:pPr>
        <w:spacing w:after="140" w:line="276"/>
      </w:pPr>
      <w:r>
        <w:rPr>
          <w:rFonts w:ascii="Calibri" w:cs="Calibri" w:eastAsia="Calibri" w:hAnsi="Calibri"/>
          <w:b w:val="false"/>
          <w:bCs w:val="false"/>
          <w:i w:val="false"/>
          <w:iCs w:val="false"/>
          <w:sz w:val="21"/>
          <w:szCs w:val="21"/>
        </w:rPr>
        <w:t xml:space="preserve">This Part B governs your participation in GeneralLink’s referral and commission program and applies in addition to Parts A and C of these Terms.</w:t>
      </w:r>
    </w:p>
    <w:p>
      <w:pPr>
        <w:pStyle w:val="Heading1"/>
        <w:spacing w:after="140" w:before="320"/>
      </w:pPr>
      <w:r>
        <w:rPr>
          <w:rFonts w:ascii="Calibri" w:cs="Calibri" w:eastAsia="Calibri" w:hAnsi="Calibri"/>
          <w:b/>
          <w:bCs/>
          <w:color w:val="1F3864"/>
          <w:sz w:val="26"/>
          <w:szCs w:val="26"/>
        </w:rPr>
        <w:t xml:space="preserve">8. Upline Permanence</w:t>
      </w:r>
    </w:p>
    <w:p>
      <w:pPr>
        <w:spacing w:after="140" w:line="276"/>
      </w:pPr>
      <w:r>
        <w:rPr>
          <w:rFonts w:ascii="Calibri" w:cs="Calibri" w:eastAsia="Calibri" w:hAnsi="Calibri"/>
          <w:b w:val="false"/>
          <w:bCs w:val="false"/>
          <w:i w:val="false"/>
          <w:iCs w:val="false"/>
          <w:sz w:val="21"/>
          <w:szCs w:val="21"/>
        </w:rPr>
        <w:t xml:space="preserve">The Agent who refers a new registrant becomes that registrant’s permanent Upline. Once set at registration, the Upline relationship does not change, except at GeneralLink’s sole discretion where necessary to correct fraud, error, or a violation of these Terms.</w:t>
      </w:r>
    </w:p>
    <w:p>
      <w:pPr>
        <w:pStyle w:val="Heading1"/>
        <w:spacing w:after="140" w:before="320"/>
      </w:pPr>
      <w:r>
        <w:rPr>
          <w:rFonts w:ascii="Calibri" w:cs="Calibri" w:eastAsia="Calibri" w:hAnsi="Calibri"/>
          <w:b/>
          <w:bCs/>
          <w:color w:val="1F3864"/>
          <w:sz w:val="26"/>
          <w:szCs w:val="26"/>
        </w:rPr>
        <w:t xml:space="preserve">9. Commission Structure</w:t>
      </w:r>
    </w:p>
    <w:p>
      <w:pPr>
        <w:spacing w:after="140" w:line="276"/>
      </w:pPr>
      <w:r>
        <w:rPr>
          <w:rFonts w:ascii="Calibri" w:cs="Calibri" w:eastAsia="Calibri" w:hAnsi="Calibri"/>
          <w:b w:val="false"/>
          <w:bCs w:val="false"/>
          <w:i w:val="false"/>
          <w:iCs w:val="false"/>
          <w:sz w:val="21"/>
          <w:szCs w:val="21"/>
        </w:rPr>
        <w:t xml:space="preserve">Commission is calculated according to the Commission Schedule in force at the time of the relevant qualifying transaction, as published or made available to Agents on the Platform. The Commission Schedule may include tier-based rates, multi-level overrides across the referral hierarchy, and adjustments for larger groups. GeneralLink may amend the Commission Schedule from time to time; changes will not retroactively reduce Commission already earned and payable on transactions completed before the change takes effect, unless required to correct an error or address fraud.</w:t>
      </w:r>
    </w:p>
    <w:p>
      <w:pPr>
        <w:pStyle w:val="Heading1"/>
        <w:spacing w:after="140" w:before="320"/>
      </w:pPr>
      <w:r>
        <w:rPr>
          <w:rFonts w:ascii="Calibri" w:cs="Calibri" w:eastAsia="Calibri" w:hAnsi="Calibri"/>
          <w:b/>
          <w:bCs/>
          <w:color w:val="1F3864"/>
          <w:sz w:val="26"/>
          <w:szCs w:val="26"/>
        </w:rPr>
        <w:t xml:space="preserve">10. Payment Terms</w:t>
      </w:r>
    </w:p>
    <w:p>
      <w:pPr>
        <w:spacing w:after="140" w:line="276"/>
      </w:pPr>
      <w:r>
        <w:rPr>
          <w:rFonts w:ascii="Calibri" w:cs="Calibri" w:eastAsia="Calibri" w:hAnsi="Calibri"/>
          <w:b w:val="false"/>
          <w:bCs w:val="false"/>
          <w:i w:val="false"/>
          <w:iCs w:val="false"/>
          <w:sz w:val="21"/>
          <w:szCs w:val="21"/>
        </w:rPr>
        <w:t xml:space="preserve">Commission is paid to the bank account details on file for the Agent, on the payment cycle and subject to any minimum payout threshold specified on the Platform. GeneralLink reserves the right to withhold, delay, reverse, or reclaim Commission where the underlying transaction is cancelled, refunded, disputed, or found to involve fraud or a breach of these Terms.</w:t>
      </w:r>
    </w:p>
    <w:p>
      <w:pPr>
        <w:pStyle w:val="Heading1"/>
        <w:spacing w:after="140" w:before="320"/>
      </w:pPr>
      <w:r>
        <w:rPr>
          <w:rFonts w:ascii="Calibri" w:cs="Calibri" w:eastAsia="Calibri" w:hAnsi="Calibri"/>
          <w:b/>
          <w:bCs/>
          <w:color w:val="1F3864"/>
          <w:sz w:val="26"/>
          <w:szCs w:val="26"/>
        </w:rPr>
        <w:t xml:space="preserve">11. Tax Responsibility</w:t>
      </w:r>
    </w:p>
    <w:p>
      <w:pPr>
        <w:spacing w:after="140" w:line="276"/>
      </w:pPr>
      <w:r>
        <w:rPr>
          <w:rFonts w:ascii="Calibri" w:cs="Calibri" w:eastAsia="Calibri" w:hAnsi="Calibri"/>
          <w:b w:val="false"/>
          <w:bCs w:val="false"/>
          <w:i w:val="false"/>
          <w:iCs w:val="false"/>
          <w:sz w:val="21"/>
          <w:szCs w:val="21"/>
        </w:rPr>
        <w:t xml:space="preserve">Agents are solely responsible for determining and meeting their own tax obligations arising from Commission earned through the program. GeneralLink may be required to report Commission payments to the relevant tax authorities as required by law.</w:t>
      </w:r>
    </w:p>
    <w:p>
      <w:pPr>
        <w:pStyle w:val="Heading1"/>
        <w:spacing w:after="140" w:before="320"/>
      </w:pPr>
      <w:r>
        <w:rPr>
          <w:rFonts w:ascii="Calibri" w:cs="Calibri" w:eastAsia="Calibri" w:hAnsi="Calibri"/>
          <w:b/>
          <w:bCs/>
          <w:color w:val="1F3864"/>
          <w:sz w:val="26"/>
          <w:szCs w:val="26"/>
        </w:rPr>
        <w:t xml:space="preserve">12. Relationship of the Parties</w:t>
      </w:r>
    </w:p>
    <w:p>
      <w:pPr>
        <w:spacing w:after="140" w:line="276"/>
      </w:pPr>
      <w:r>
        <w:rPr>
          <w:rFonts w:ascii="Calibri" w:cs="Calibri" w:eastAsia="Calibri" w:hAnsi="Calibri"/>
          <w:b w:val="false"/>
          <w:bCs w:val="false"/>
          <w:i w:val="false"/>
          <w:iCs w:val="false"/>
          <w:sz w:val="21"/>
          <w:szCs w:val="21"/>
        </w:rPr>
        <w:t xml:space="preserve">Participation in the referral program does not create an employment, partnership, joint venture, or agency relationship between the Agent and GeneralLink. Agents act as independent participants and are not authorized to make representations or commitments on GeneralLink’s behalf.</w:t>
      </w:r>
    </w:p>
    <w:p>
      <w:pPr>
        <w:pStyle w:val="Heading1"/>
        <w:spacing w:after="140" w:before="320"/>
      </w:pPr>
      <w:r>
        <w:rPr>
          <w:rFonts w:ascii="Calibri" w:cs="Calibri" w:eastAsia="Calibri" w:hAnsi="Calibri"/>
          <w:b/>
          <w:bCs/>
          <w:color w:val="1F3864"/>
          <w:sz w:val="26"/>
          <w:szCs w:val="26"/>
        </w:rPr>
        <w:t xml:space="preserve">PART C — PLATFORM-WIDE TERMS</w:t>
      </w:r>
    </w:p>
    <w:p>
      <w:pPr>
        <w:pStyle w:val="Heading1"/>
        <w:spacing w:after="140" w:before="320"/>
      </w:pPr>
      <w:r>
        <w:rPr>
          <w:rFonts w:ascii="Calibri" w:cs="Calibri" w:eastAsia="Calibri" w:hAnsi="Calibri"/>
          <w:b/>
          <w:bCs/>
          <w:color w:val="1F3864"/>
          <w:sz w:val="26"/>
          <w:szCs w:val="26"/>
        </w:rPr>
        <w:t xml:space="preserve">13. Suspension and Termination</w:t>
      </w:r>
    </w:p>
    <w:p>
      <w:pPr>
        <w:spacing w:after="140" w:line="276"/>
      </w:pPr>
      <w:r>
        <w:rPr>
          <w:rFonts w:ascii="Calibri" w:cs="Calibri" w:eastAsia="Calibri" w:hAnsi="Calibri"/>
          <w:b w:val="false"/>
          <w:bCs w:val="false"/>
          <w:i w:val="false"/>
          <w:iCs w:val="false"/>
          <w:sz w:val="21"/>
          <w:szCs w:val="21"/>
        </w:rPr>
        <w:t xml:space="preserve">GeneralLink may suspend or terminate your account, or your participation in the referral program, with or without notice, if you breach these Terms, engage in fraudulent or harmful conduct, or if required by law or regulatory direction. You may close your account at any time by contacting GeneralLink. Termination does not entitle you to Commission that was not validly earned, and does not affect Commission already validly earned and payable prior to termination, except where withheld or reversed under Section 10.</w:t>
      </w:r>
    </w:p>
    <w:p>
      <w:pPr>
        <w:pStyle w:val="Heading1"/>
        <w:spacing w:after="140" w:before="320"/>
      </w:pPr>
      <w:r>
        <w:rPr>
          <w:rFonts w:ascii="Calibri" w:cs="Calibri" w:eastAsia="Calibri" w:hAnsi="Calibri"/>
          <w:b/>
          <w:bCs/>
          <w:color w:val="1F3864"/>
          <w:sz w:val="26"/>
          <w:szCs w:val="26"/>
        </w:rPr>
        <w:t xml:space="preserve">14. Disclaimers</w:t>
      </w:r>
    </w:p>
    <w:p>
      <w:pPr>
        <w:spacing w:after="140" w:line="276"/>
      </w:pPr>
      <w:r>
        <w:rPr>
          <w:rFonts w:ascii="Calibri" w:cs="Calibri" w:eastAsia="Calibri" w:hAnsi="Calibri"/>
          <w:b w:val="false"/>
          <w:bCs w:val="false"/>
          <w:i w:val="false"/>
          <w:iCs w:val="false"/>
          <w:sz w:val="21"/>
          <w:szCs w:val="21"/>
        </w:rPr>
        <w:t xml:space="preserve">The Platform is provided "as is" and "as available". To the maximum extent permitted by law, GeneralLink disclaims all warranties, whether express or implied, including warranties of merchantability, fitness for a particular purpose, and non-infringement. GeneralLink does not guarantee any specific level of earnings, referrals, or Commission.</w:t>
      </w:r>
    </w:p>
    <w:p>
      <w:pPr>
        <w:pStyle w:val="Heading1"/>
        <w:spacing w:after="140" w:before="320"/>
      </w:pPr>
      <w:r>
        <w:rPr>
          <w:rFonts w:ascii="Calibri" w:cs="Calibri" w:eastAsia="Calibri" w:hAnsi="Calibri"/>
          <w:b/>
          <w:bCs/>
          <w:color w:val="1F3864"/>
          <w:sz w:val="26"/>
          <w:szCs w:val="26"/>
        </w:rPr>
        <w:t xml:space="preserve">15. Limitation of Liability</w:t>
      </w:r>
    </w:p>
    <w:p>
      <w:pPr>
        <w:spacing w:after="140" w:line="276"/>
      </w:pPr>
      <w:r>
        <w:rPr>
          <w:rFonts w:ascii="Calibri" w:cs="Calibri" w:eastAsia="Calibri" w:hAnsi="Calibri"/>
          <w:b w:val="false"/>
          <w:bCs w:val="false"/>
          <w:i w:val="false"/>
          <w:iCs w:val="false"/>
          <w:sz w:val="21"/>
          <w:szCs w:val="21"/>
        </w:rPr>
        <w:t xml:space="preserve">To the maximum extent permitted by applicable law, GeneralLink shall not be liable for any indirect, incidental, special, consequential, or punitive damages, or any loss of profits, revenue, or data, arising from your use of the Platform. GeneralLink’s total aggregate liability for any claim arising out of or relating to these Terms shall not exceed the total Commission paid to you in the twelve (12) months preceding the event giving rise to the claim.</w:t>
      </w:r>
    </w:p>
    <w:p>
      <w:pPr>
        <w:pStyle w:val="Heading1"/>
        <w:spacing w:after="140" w:before="320"/>
      </w:pPr>
      <w:r>
        <w:rPr>
          <w:rFonts w:ascii="Calibri" w:cs="Calibri" w:eastAsia="Calibri" w:hAnsi="Calibri"/>
          <w:b/>
          <w:bCs/>
          <w:color w:val="1F3864"/>
          <w:sz w:val="26"/>
          <w:szCs w:val="26"/>
        </w:rPr>
        <w:t xml:space="preserve">16. Indemnification</w:t>
      </w:r>
    </w:p>
    <w:p>
      <w:pPr>
        <w:spacing w:after="140" w:line="276"/>
      </w:pPr>
      <w:r>
        <w:rPr>
          <w:rFonts w:ascii="Calibri" w:cs="Calibri" w:eastAsia="Calibri" w:hAnsi="Calibri"/>
          <w:b w:val="false"/>
          <w:bCs w:val="false"/>
          <w:i w:val="false"/>
          <w:iCs w:val="false"/>
          <w:sz w:val="21"/>
          <w:szCs w:val="21"/>
        </w:rPr>
        <w:t xml:space="preserve">You agree to indemnify and hold harmless GeneralLink, its officers, employees, and affiliates from any claim, loss, or expense (including reasonable legal fees) arising from your breach of these Terms, your misuse of the Platform, or your violation of any law or third-party right.</w:t>
      </w:r>
    </w:p>
    <w:p>
      <w:pPr>
        <w:pStyle w:val="Heading1"/>
        <w:spacing w:after="140" w:before="320"/>
      </w:pPr>
      <w:r>
        <w:rPr>
          <w:rFonts w:ascii="Calibri" w:cs="Calibri" w:eastAsia="Calibri" w:hAnsi="Calibri"/>
          <w:b/>
          <w:bCs/>
          <w:color w:val="1F3864"/>
          <w:sz w:val="26"/>
          <w:szCs w:val="26"/>
        </w:rPr>
        <w:t xml:space="preserve">17. Changes to These Terms</w:t>
      </w:r>
    </w:p>
    <w:p>
      <w:pPr>
        <w:spacing w:after="140" w:line="276"/>
      </w:pPr>
      <w:r>
        <w:rPr>
          <w:rFonts w:ascii="Calibri" w:cs="Calibri" w:eastAsia="Calibri" w:hAnsi="Calibri"/>
          <w:b w:val="false"/>
          <w:bCs w:val="false"/>
          <w:i w:val="false"/>
          <w:iCs w:val="false"/>
          <w:sz w:val="21"/>
          <w:szCs w:val="21"/>
        </w:rPr>
        <w:t xml:space="preserve">GeneralLink may update these Terms from time to time to reflect changes in the Platform, our practices, or applicable law. Where a new version is published, you will be required to review and re-accept the updated Terms before continuing to access the Platform, as described in our consent management process.</w:t>
      </w:r>
    </w:p>
    <w:p>
      <w:pPr>
        <w:pStyle w:val="Heading1"/>
        <w:spacing w:after="140" w:before="320"/>
      </w:pPr>
      <w:r>
        <w:rPr>
          <w:rFonts w:ascii="Calibri" w:cs="Calibri" w:eastAsia="Calibri" w:hAnsi="Calibri"/>
          <w:b/>
          <w:bCs/>
          <w:color w:val="1F3864"/>
          <w:sz w:val="26"/>
          <w:szCs w:val="26"/>
        </w:rPr>
        <w:t xml:space="preserve">18. Governing Law and Dispute Resolution</w:t>
      </w:r>
    </w:p>
    <w:p>
      <w:pPr>
        <w:spacing w:after="140" w:line="276"/>
      </w:pPr>
      <w:r>
        <w:rPr>
          <w:rFonts w:ascii="Calibri" w:cs="Calibri" w:eastAsia="Calibri" w:hAnsi="Calibri"/>
          <w:b w:val="false"/>
          <w:bCs w:val="false"/>
          <w:i w:val="false"/>
          <w:iCs w:val="false"/>
          <w:sz w:val="21"/>
          <w:szCs w:val="21"/>
        </w:rPr>
        <w:t xml:space="preserve">These Terms are governed by the laws of Malaysia. Any dispute arising out of or in connection with these Terms shall first be attempted to be resolved amicably; failing which, the dispute shall be subject to the exclusive jurisdiction of the courts of Malaysia, subject to any mandatory consumer protection rights available to you under Malaysian law.</w:t>
      </w:r>
    </w:p>
    <w:p>
      <w:pPr>
        <w:pStyle w:val="Heading1"/>
        <w:spacing w:after="140" w:before="320"/>
      </w:pPr>
      <w:r>
        <w:rPr>
          <w:rFonts w:ascii="Calibri" w:cs="Calibri" w:eastAsia="Calibri" w:hAnsi="Calibri"/>
          <w:b/>
          <w:bCs/>
          <w:color w:val="1F3864"/>
          <w:sz w:val="26"/>
          <w:szCs w:val="26"/>
        </w:rPr>
        <w:t xml:space="preserve">19. Contact Us</w:t>
      </w:r>
    </w:p>
    <w:p>
      <w:pPr>
        <w:spacing w:after="140" w:line="276"/>
      </w:pPr>
      <w:r>
        <w:rPr>
          <w:rFonts w:ascii="Calibri" w:cs="Calibri" w:eastAsia="Calibri" w:hAnsi="Calibri"/>
          <w:b w:val="false"/>
          <w:bCs w:val="false"/>
          <w:i w:val="false"/>
          <w:iCs w:val="false"/>
          <w:sz w:val="21"/>
          <w:szCs w:val="21"/>
        </w:rPr>
        <w:t xml:space="preserve">For questions about these Terms, please contact [COMPANY NAME] at [CONTACT EMAIL].</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spacing w:before="100"/>
      <w:jc w:val="center"/>
    </w:pPr>
    <w:r>
      <w:rPr>
        <w:rFonts w:ascii="Calibri" w:cs="Calibri" w:eastAsia="Calibri" w:hAnsi="Calibri"/>
        <w:color w:val="595959"/>
        <w:sz w:val="15"/>
        <w:szCs w:val="15"/>
      </w:rPr>
      <w:t xml:space="preserve">GLADE — Terms &amp; Conditions — DRAFT for legal review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C00000"/>
        <w:sz w:val="15"/>
        <w:szCs w:val="15"/>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2026-08-05T07:17:06.452Z</dcterms:created>
  <dcterms:modified xsi:type="dcterms:W3CDTF">2026-08-05T07:17:06.463Z</dcterms:modified>
</cp:coreProperties>
</file>

<file path=docProps/custom.xml><?xml version="1.0" encoding="utf-8"?>
<Properties xmlns="http://schemas.openxmlformats.org/officeDocument/2006/custom-properties" xmlns:vt="http://schemas.openxmlformats.org/officeDocument/2006/docPropsVTypes"/>
</file>