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864"/>
          <w:spacing w:val="20"/>
          <w:sz w:val="20"/>
          <w:szCs w:val="20"/>
        </w:rPr>
        <w:t xml:space="preserve">GLADE</w:t>
      </w:r>
    </w:p>
    <w:p>
      <w:pPr>
        <w:spacing w:after="300"/>
      </w:pPr>
      <w:r>
        <w:rPr>
          <w:rFonts w:ascii="Calibri" w:cs="Calibri" w:eastAsia="Calibri" w:hAnsi="Calibri"/>
          <w:i/>
          <w:iCs/>
          <w:color w:val="595959"/>
          <w:sz w:val="18"/>
          <w:szCs w:val="18"/>
        </w:rPr>
        <w:t xml:space="preserve">GeneralLink Affiliate Digital Ecosystem</w:t>
      </w:r>
    </w:p>
    <w:p>
      <w:pPr>
        <w:spacing w:after="120"/>
      </w:pPr>
      <w:r>
        <w:rPr>
          <w:rFonts w:ascii="Calibri" w:cs="Calibri" w:eastAsia="Calibri" w:hAnsi="Calibri"/>
          <w:b/>
          <w:bCs/>
          <w:color w:val="1F3864"/>
          <w:sz w:val="44"/>
          <w:szCs w:val="44"/>
        </w:rPr>
        <w:t xml:space="preserve">Terms of Use</w:t>
      </w:r>
    </w:p>
    <w:p>
      <w:pPr>
        <w:spacing w:after="300"/>
      </w:pPr>
      <w:r>
        <w:rPr>
          <w:rFonts w:ascii="Calibri" w:cs="Calibri" w:eastAsia="Calibri" w:hAnsi="Calibri"/>
          <w:color w:val="595959"/>
          <w:sz w:val="22"/>
          <w:szCs w:val="22"/>
        </w:rPr>
        <w:t xml:space="preserve">Governing your access to and use of the GLADE Platform</w:t>
      </w:r>
    </w:p>
    <w:tbl>
      <w:tblPr>
        <w:tblW w:type="pct" w:w="100%"/>
        <w:tblBorders>
          <w:top w:val="single" w:color="D9D9D9" w:sz="4"/>
          <w:left w:val="none"/>
          <w:bottom w:val="single" w:color="D9D9D9" w:sz="4"/>
          <w:right w:val="none"/>
          <w:insideH w:val="single" w:color="D9D9D9" w:sz="4"/>
          <w:insideV w:val="none"/>
        </w:tblBorders>
      </w:tblPr>
      <w:tblGrid>
        <w:gridCol w:w="3000"/>
        <w:gridCol w:w="6500"/>
      </w:tblGrid>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Document Status</w:t>
            </w:r>
          </w:p>
        </w:tc>
        <w:tc>
          <w:tcPr>
            <w:tcW w:type="dxa" w:w="6500"/>
            <w:tcMar>
              <w:top w:type="dxa" w:w="80"/>
              <w:left w:type="dxa" w:w="100"/>
              <w:bottom w:type="dxa" w:w="80"/>
              <w:right w:type="dxa" w:w="100"/>
            </w:tcMar>
            <w:vAlign w:val="center"/>
          </w:tcPr>
          <w:p>
            <w:r>
              <w:rPr>
                <w:rFonts w:ascii="Calibri" w:cs="Calibri" w:eastAsia="Calibri" w:hAnsi="Calibri"/>
                <w:b/>
                <w:bCs/>
                <w:color w:val="C00000"/>
                <w:sz w:val="18"/>
                <w:szCs w:val="18"/>
              </w:rPr>
              <w:t xml:space="preserve">DRAFT — PREPARED FOR LEGAL REVIEW. NOT YET APPROVED OR LEGALLY BINDING.</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Version</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Version 1.0</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Effective Date</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[TO BE CONFIRMED UPON LEGAL APPROVAL]</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Governing Law</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Malaysia</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Prepared For</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[COMPANY NAME] (registration in progress — legal entity name to be inserted once available)</w:t>
            </w:r>
          </w:p>
        </w:tc>
      </w:tr>
    </w:tbl>
    <w:p>
      <w:pPr>
        <w:pBdr>
          <w:bottom w:val="single" w:color="1F3864" w:sz="6"/>
        </w:pBdr>
        <w:spacing w:after="300" w:before="300"/>
      </w:pPr>
    </w:p>
    <w:p>
      <w:pPr>
        <w:pStyle w:val="Heading1"/>
        <w:spacing w:after="140" w:before="320"/>
      </w:pPr>
      <w:r>
        <w:rPr>
          <w:rFonts w:ascii="Calibri" w:cs="Calibri" w:eastAsia="Calibri" w:hAnsi="Calibri"/>
          <w:b/>
          <w:bCs/>
          <w:color w:val="1F3864"/>
          <w:sz w:val="26"/>
          <w:szCs w:val="26"/>
        </w:rPr>
        <w:t xml:space="preserve">1. Introduction and Acceptance</w:t>
      </w:r>
    </w:p>
    <w:p>
      <w:pPr>
        <w:spacing w:after="140" w:line="276"/>
      </w:pPr>
      <w:r>
        <w:rPr>
          <w:rFonts w:ascii="Calibri" w:cs="Calibri" w:eastAsia="Calibri" w:hAnsi="Calibri"/>
          <w:b w:val="false"/>
          <w:bCs w:val="false"/>
          <w:i w:val="false"/>
          <w:iCs w:val="false"/>
          <w:sz w:val="21"/>
          <w:szCs w:val="21"/>
        </w:rPr>
        <w:t xml:space="preserve">These Terms of Use ("Terms") govern access to and use of GLADE (the "Platform"), the GeneralLink Affiliate Digital Ecosystem, operated by [COMPANY NAME] ("GeneralLink", "we", "us", or "our"). GLADE is a multi-vendor digital affiliate ecosystem through which registered Agents may promote and earn commission on products and services offered by third-party Vendors.</w:t>
      </w:r>
    </w:p>
    <w:p>
      <w:pPr>
        <w:spacing w:after="140" w:line="276"/>
      </w:pPr>
      <w:r>
        <w:rPr>
          <w:rFonts w:ascii="Calibri" w:cs="Calibri" w:eastAsia="Calibri" w:hAnsi="Calibri"/>
          <w:b w:val="false"/>
          <w:bCs w:val="false"/>
          <w:i w:val="false"/>
          <w:iCs w:val="false"/>
          <w:sz w:val="21"/>
          <w:szCs w:val="21"/>
        </w:rPr>
        <w:t xml:space="preserve">By creating an account, clicking "I Agree", or otherwise accessing or using the Platform, you ("Agent", "you", "your") confirm that you have read, understood, and agree to be bound by these Terms, our Privacy Policy, our Cookie Policy, and (where applicable) our Affiliate Referral Program Terms (together, the "Legal Documents"). If you do not agree, you must not register for or use the Platform.</w:t>
      </w:r>
    </w:p>
    <w:p>
      <w:pPr>
        <w:spacing w:after="140" w:line="276"/>
      </w:pPr>
      <w:r>
        <w:rPr>
          <w:rFonts w:ascii="Calibri" w:cs="Calibri" w:eastAsia="Calibri" w:hAnsi="Calibri"/>
          <w:b w:val="false"/>
          <w:bCs w:val="false"/>
          <w:i w:val="false"/>
          <w:iCs w:val="false"/>
          <w:sz w:val="21"/>
          <w:szCs w:val="21"/>
        </w:rPr>
        <w:t xml:space="preserve">If you are entering into these Terms on behalf of a company or other legal entity, you represent that you have the authority to bind that entity, in which case "you" refers to that entity.</w:t>
      </w:r>
    </w:p>
    <w:p>
      <w:pPr>
        <w:pStyle w:val="Heading1"/>
        <w:spacing w:after="140" w:before="320"/>
      </w:pPr>
      <w:r>
        <w:rPr>
          <w:rFonts w:ascii="Calibri" w:cs="Calibri" w:eastAsia="Calibri" w:hAnsi="Calibri"/>
          <w:b/>
          <w:bCs/>
          <w:color w:val="1F3864"/>
          <w:sz w:val="26"/>
          <w:szCs w:val="26"/>
        </w:rPr>
        <w:t xml:space="preserve">2. Definitions</w:t>
      </w:r>
    </w:p>
    <w:p>
      <w:pPr>
        <w:pStyle w:val="ListParagraph"/>
        <w:numPr>
          <w:ilvl w:val="0"/>
          <w:numId w:val="1"/>
        </w:numPr>
        <w:spacing w:after="80" w:line="276"/>
      </w:pPr>
      <w:r>
        <w:rPr>
          <w:rFonts w:ascii="Calibri" w:cs="Calibri" w:eastAsia="Calibri" w:hAnsi="Calibri"/>
          <w:sz w:val="21"/>
          <w:szCs w:val="21"/>
        </w:rPr>
        <w:t xml:space="preserve">"Agent" means any individual registered on the Platform, regardless of tier (Introducer, Team Leader, Group Leader) or Admin status.</w:t>
      </w:r>
    </w:p>
    <w:p>
      <w:pPr>
        <w:pStyle w:val="ListParagraph"/>
        <w:numPr>
          <w:ilvl w:val="0"/>
          <w:numId w:val="1"/>
        </w:numPr>
        <w:spacing w:after="80" w:line="276"/>
      </w:pPr>
      <w:r>
        <w:rPr>
          <w:rFonts w:ascii="Calibri" w:cs="Calibri" w:eastAsia="Calibri" w:hAnsi="Calibri"/>
          <w:sz w:val="21"/>
          <w:szCs w:val="21"/>
        </w:rPr>
        <w:t xml:space="preserve">"Introducer", "Team Leader (TL)", and "Group Leader (GL)" refer to the tiered Agent roles described in the Affiliate Referral Program Terms.</w:t>
      </w:r>
    </w:p>
    <w:p>
      <w:pPr>
        <w:pStyle w:val="ListParagraph"/>
        <w:numPr>
          <w:ilvl w:val="0"/>
          <w:numId w:val="1"/>
        </w:numPr>
        <w:spacing w:after="80" w:line="276"/>
      </w:pPr>
      <w:r>
        <w:rPr>
          <w:rFonts w:ascii="Calibri" w:cs="Calibri" w:eastAsia="Calibri" w:hAnsi="Calibri"/>
          <w:sz w:val="21"/>
          <w:szCs w:val="21"/>
        </w:rPr>
        <w:t xml:space="preserve">"Vendor" means a third party whose products or services are made available through the Platform for Agents to promote.</w:t>
      </w:r>
    </w:p>
    <w:p>
      <w:pPr>
        <w:pStyle w:val="ListParagraph"/>
        <w:numPr>
          <w:ilvl w:val="0"/>
          <w:numId w:val="1"/>
        </w:numPr>
        <w:spacing w:after="80" w:line="276"/>
      </w:pPr>
      <w:r>
        <w:rPr>
          <w:rFonts w:ascii="Calibri" w:cs="Calibri" w:eastAsia="Calibri" w:hAnsi="Calibri"/>
          <w:sz w:val="21"/>
          <w:szCs w:val="21"/>
        </w:rPr>
        <w:t xml:space="preserve">"Commission" means any monetary amount payable to an Agent for a qualifying transaction, calculated under the then-current Commission Schedule.</w:t>
      </w:r>
    </w:p>
    <w:p>
      <w:pPr>
        <w:pStyle w:val="ListParagraph"/>
        <w:numPr>
          <w:ilvl w:val="0"/>
          <w:numId w:val="1"/>
        </w:numPr>
        <w:spacing w:after="80" w:line="276"/>
      </w:pPr>
      <w:r>
        <w:rPr>
          <w:rFonts w:ascii="Calibri" w:cs="Calibri" w:eastAsia="Calibri" w:hAnsi="Calibri"/>
          <w:sz w:val="21"/>
          <w:szCs w:val="21"/>
        </w:rPr>
        <w:t xml:space="preserve">"Upline" means the Agent(s) positioned above a given Agent in the referral hierarchy at the time of that Agent’s registration.</w:t>
      </w:r>
    </w:p>
    <w:p>
      <w:pPr>
        <w:pStyle w:val="Heading1"/>
        <w:spacing w:after="140" w:before="320"/>
      </w:pPr>
      <w:r>
        <w:rPr>
          <w:rFonts w:ascii="Calibri" w:cs="Calibri" w:eastAsia="Calibri" w:hAnsi="Calibri"/>
          <w:b/>
          <w:bCs/>
          <w:color w:val="1F3864"/>
          <w:sz w:val="26"/>
          <w:szCs w:val="26"/>
        </w:rPr>
        <w:t xml:space="preserve">3. Eligibility and Registration</w:t>
      </w:r>
    </w:p>
    <w:p>
      <w:pPr>
        <w:spacing w:after="140" w:line="276"/>
      </w:pPr>
      <w:r>
        <w:rPr>
          <w:rFonts w:ascii="Calibri" w:cs="Calibri" w:eastAsia="Calibri" w:hAnsi="Calibri"/>
          <w:b w:val="false"/>
          <w:bCs w:val="false"/>
          <w:i w:val="false"/>
          <w:iCs w:val="false"/>
          <w:sz w:val="21"/>
          <w:szCs w:val="21"/>
        </w:rPr>
        <w:t xml:space="preserve">You must be at least 18 years of age and legally capable of entering into a binding contract under applicable law to register as an Agent. All new registrations begin at the Introducer tier; there are no exceptions to this rule. Progression to Team Leader or Group Leader occurs automatically upon meeting the criteria set out in the Affiliate Referral Program Terms.</w:t>
      </w:r>
    </w:p>
    <w:p>
      <w:pPr>
        <w:spacing w:after="140" w:line="276"/>
      </w:pPr>
      <w:r>
        <w:rPr>
          <w:rFonts w:ascii="Calibri" w:cs="Calibri" w:eastAsia="Calibri" w:hAnsi="Calibri"/>
          <w:b w:val="false"/>
          <w:bCs w:val="false"/>
          <w:i w:val="false"/>
          <w:iCs w:val="false"/>
          <w:sz w:val="21"/>
          <w:szCs w:val="21"/>
        </w:rPr>
        <w:t xml:space="preserve">You agree to provide accurate, current, and complete information during registration and to keep such information updated. Your assigned Upline is permanent from the point of registration and will not be changed except at GeneralLink’s sole discretion in cases of fraud, error, or as otherwise required by these Terms.</w:t>
      </w:r>
    </w:p>
    <w:p>
      <w:pPr>
        <w:pStyle w:val="Heading1"/>
        <w:spacing w:after="140" w:before="320"/>
      </w:pPr>
      <w:r>
        <w:rPr>
          <w:rFonts w:ascii="Calibri" w:cs="Calibri" w:eastAsia="Calibri" w:hAnsi="Calibri"/>
          <w:b/>
          <w:bCs/>
          <w:color w:val="1F3864"/>
          <w:sz w:val="26"/>
          <w:szCs w:val="26"/>
        </w:rPr>
        <w:t xml:space="preserve">4. Account Security</w:t>
      </w:r>
    </w:p>
    <w:p>
      <w:pPr>
        <w:spacing w:after="140" w:line="276"/>
      </w:pPr>
      <w:r>
        <w:rPr>
          <w:rFonts w:ascii="Calibri" w:cs="Calibri" w:eastAsia="Calibri" w:hAnsi="Calibri"/>
          <w:b w:val="false"/>
          <w:bCs w:val="false"/>
          <w:i w:val="false"/>
          <w:iCs w:val="false"/>
          <w:sz w:val="21"/>
          <w:szCs w:val="21"/>
        </w:rPr>
        <w:t xml:space="preserve">You are responsible for maintaining the confidentiality of your login credentials and for all activity that occurs under your account. You must notify us immediately of any unauthorized use of your account or any other breach of security.</w:t>
      </w:r>
    </w:p>
    <w:p>
      <w:pPr>
        <w:pStyle w:val="Heading1"/>
        <w:spacing w:after="140" w:before="320"/>
      </w:pPr>
      <w:r>
        <w:rPr>
          <w:rFonts w:ascii="Calibri" w:cs="Calibri" w:eastAsia="Calibri" w:hAnsi="Calibri"/>
          <w:b/>
          <w:bCs/>
          <w:color w:val="1F3864"/>
          <w:sz w:val="26"/>
          <w:szCs w:val="26"/>
        </w:rPr>
        <w:t xml:space="preserve">5. Acceptable Use</w:t>
      </w:r>
    </w:p>
    <w:p>
      <w:pPr>
        <w:spacing w:after="140" w:line="276"/>
      </w:pPr>
      <w:r>
        <w:rPr>
          <w:rFonts w:ascii="Calibri" w:cs="Calibri" w:eastAsia="Calibri" w:hAnsi="Calibri"/>
          <w:b w:val="false"/>
          <w:bCs w:val="false"/>
          <w:i w:val="false"/>
          <w:iCs w:val="false"/>
          <w:sz w:val="21"/>
          <w:szCs w:val="21"/>
        </w:rPr>
        <w:t xml:space="preserve">You agree not to: (a) misrepresent your relationship with GeneralLink or any Vendor; (b) engage in fraudulent, deceptive, or misleading promotional practices; (c) submit false or manipulated data to inflate Commission; (d) attempt to circumvent the Upline/hierarchy structure; (e) use the Platform for any unlawful purpose; or (f) interfere with or disrupt the integrity or performance of the Platform.</w:t>
      </w:r>
    </w:p>
    <w:p>
      <w:pPr>
        <w:pStyle w:val="Heading1"/>
        <w:spacing w:after="140" w:before="320"/>
      </w:pPr>
      <w:r>
        <w:rPr>
          <w:rFonts w:ascii="Calibri" w:cs="Calibri" w:eastAsia="Calibri" w:hAnsi="Calibri"/>
          <w:b/>
          <w:bCs/>
          <w:color w:val="1F3864"/>
          <w:sz w:val="26"/>
          <w:szCs w:val="26"/>
        </w:rPr>
        <w:t xml:space="preserve">6. Vendor Products and Third-Party Offers</w:t>
      </w:r>
    </w:p>
    <w:p>
      <w:pPr>
        <w:spacing w:after="140" w:line="276"/>
      </w:pPr>
      <w:r>
        <w:rPr>
          <w:rFonts w:ascii="Calibri" w:cs="Calibri" w:eastAsia="Calibri" w:hAnsi="Calibri"/>
          <w:b w:val="false"/>
          <w:bCs w:val="false"/>
          <w:i w:val="false"/>
          <w:iCs w:val="false"/>
          <w:sz w:val="21"/>
          <w:szCs w:val="21"/>
        </w:rPr>
        <w:t xml:space="preserve">GLADE is a marketplace ecosystem: products and services promoted through the Platform are supplied by independent Vendors, not by GeneralLink. GeneralLink does not manufacture, warrant, or guarantee any Vendor product or service, and is not a party to any transaction between a customer and a Vendor. Any dispute regarding a Vendor product must be resolved directly with that Vendor, subject to the Vendor’s own terms.</w:t>
      </w:r>
    </w:p>
    <w:p>
      <w:pPr>
        <w:pStyle w:val="Heading1"/>
        <w:spacing w:after="140" w:before="320"/>
      </w:pPr>
      <w:r>
        <w:rPr>
          <w:rFonts w:ascii="Calibri" w:cs="Calibri" w:eastAsia="Calibri" w:hAnsi="Calibri"/>
          <w:b/>
          <w:bCs/>
          <w:color w:val="1F3864"/>
          <w:sz w:val="26"/>
          <w:szCs w:val="26"/>
        </w:rPr>
        <w:t xml:space="preserve">7. Fees, Commissions and Payments</w:t>
      </w:r>
    </w:p>
    <w:p>
      <w:pPr>
        <w:spacing w:after="140" w:line="276"/>
      </w:pPr>
      <w:r>
        <w:rPr>
          <w:rFonts w:ascii="Calibri" w:cs="Calibri" w:eastAsia="Calibri" w:hAnsi="Calibri"/>
          <w:b w:val="false"/>
          <w:bCs w:val="false"/>
          <w:i w:val="false"/>
          <w:iCs w:val="false"/>
          <w:sz w:val="21"/>
          <w:szCs w:val="21"/>
        </w:rPr>
        <w:t xml:space="preserve">Commission structures, rates, payment schedules, and eligibility rules are set out in the Affiliate Referral Program Terms and the then-current Commission Schedule, which may be amended by GeneralLink from time to time on reasonable notice. GeneralLink reserves the right to withhold, reverse, or reclaim Commission arising from cancelled transactions, refunds, fraud, or breach of these Terms.</w:t>
      </w:r>
    </w:p>
    <w:p>
      <w:pPr>
        <w:pStyle w:val="Heading1"/>
        <w:spacing w:after="140" w:before="320"/>
      </w:pPr>
      <w:r>
        <w:rPr>
          <w:rFonts w:ascii="Calibri" w:cs="Calibri" w:eastAsia="Calibri" w:hAnsi="Calibri"/>
          <w:b/>
          <w:bCs/>
          <w:color w:val="1F3864"/>
          <w:sz w:val="26"/>
          <w:szCs w:val="26"/>
        </w:rPr>
        <w:t xml:space="preserve">8. Intellectual Property</w:t>
      </w:r>
    </w:p>
    <w:p>
      <w:pPr>
        <w:spacing w:after="140" w:line="276"/>
      </w:pPr>
      <w:r>
        <w:rPr>
          <w:rFonts w:ascii="Calibri" w:cs="Calibri" w:eastAsia="Calibri" w:hAnsi="Calibri"/>
          <w:b w:val="false"/>
          <w:bCs w:val="false"/>
          <w:i w:val="false"/>
          <w:iCs w:val="false"/>
          <w:sz w:val="21"/>
          <w:szCs w:val="21"/>
        </w:rPr>
        <w:t xml:space="preserve">The Platform, including its software, design, trademarks, and content (excluding Vendor-supplied material), is owned by or licensed to GeneralLink and is protected by applicable intellectual property laws. You are granted a limited, non-exclusive, non-transferable license to use the Platform solely for its intended purpose as an Agent.</w:t>
      </w:r>
    </w:p>
    <w:p>
      <w:pPr>
        <w:pStyle w:val="Heading1"/>
        <w:spacing w:after="140" w:before="320"/>
      </w:pPr>
      <w:r>
        <w:rPr>
          <w:rFonts w:ascii="Calibri" w:cs="Calibri" w:eastAsia="Calibri" w:hAnsi="Calibri"/>
          <w:b/>
          <w:bCs/>
          <w:color w:val="1F3864"/>
          <w:sz w:val="26"/>
          <w:szCs w:val="26"/>
        </w:rPr>
        <w:t xml:space="preserve">9. Suspension and Termination</w:t>
      </w:r>
    </w:p>
    <w:p>
      <w:pPr>
        <w:spacing w:after="140" w:line="276"/>
      </w:pPr>
      <w:r>
        <w:rPr>
          <w:rFonts w:ascii="Calibri" w:cs="Calibri" w:eastAsia="Calibri" w:hAnsi="Calibri"/>
          <w:b w:val="false"/>
          <w:bCs w:val="false"/>
          <w:i w:val="false"/>
          <w:iCs w:val="false"/>
          <w:sz w:val="21"/>
          <w:szCs w:val="21"/>
        </w:rPr>
        <w:t xml:space="preserve">GeneralLink may suspend or terminate your account, with or without notice, if you breach these Terms, engage in fraudulent or harmful conduct, or if required by law or regulatory direction. You may close your account at any time by contacting GeneralLink; outstanding obligations (including reversal of improperly earned Commission) survive termination.</w:t>
      </w:r>
    </w:p>
    <w:p>
      <w:pPr>
        <w:pStyle w:val="Heading1"/>
        <w:spacing w:after="140" w:before="320"/>
      </w:pPr>
      <w:r>
        <w:rPr>
          <w:rFonts w:ascii="Calibri" w:cs="Calibri" w:eastAsia="Calibri" w:hAnsi="Calibri"/>
          <w:b/>
          <w:bCs/>
          <w:color w:val="1F3864"/>
          <w:sz w:val="26"/>
          <w:szCs w:val="26"/>
        </w:rPr>
        <w:t xml:space="preserve">10. Disclaimers</w:t>
      </w:r>
    </w:p>
    <w:p>
      <w:pPr>
        <w:spacing w:after="140" w:line="276"/>
      </w:pPr>
      <w:r>
        <w:rPr>
          <w:rFonts w:ascii="Calibri" w:cs="Calibri" w:eastAsia="Calibri" w:hAnsi="Calibri"/>
          <w:b w:val="false"/>
          <w:bCs w:val="false"/>
          <w:i w:val="false"/>
          <w:iCs w:val="false"/>
          <w:sz w:val="21"/>
          <w:szCs w:val="21"/>
        </w:rPr>
        <w:t xml:space="preserve">The Platform is provided "as is" and "as available". To the maximum extent permitted by law, GeneralLink disclaims all warranties, whether express or implied, including warranties of merchantability, fitness for a particular purpose, and non-infringement. GeneralLink does not guarantee any specific level of earnings, referrals, or Commission.</w:t>
      </w:r>
    </w:p>
    <w:p>
      <w:pPr>
        <w:pStyle w:val="Heading1"/>
        <w:spacing w:after="140" w:before="320"/>
      </w:pPr>
      <w:r>
        <w:rPr>
          <w:rFonts w:ascii="Calibri" w:cs="Calibri" w:eastAsia="Calibri" w:hAnsi="Calibri"/>
          <w:b/>
          <w:bCs/>
          <w:color w:val="1F3864"/>
          <w:sz w:val="26"/>
          <w:szCs w:val="26"/>
        </w:rPr>
        <w:t xml:space="preserve">11. Limitation of Liability</w:t>
      </w:r>
    </w:p>
    <w:p>
      <w:pPr>
        <w:spacing w:after="140" w:line="276"/>
      </w:pPr>
      <w:r>
        <w:rPr>
          <w:rFonts w:ascii="Calibri" w:cs="Calibri" w:eastAsia="Calibri" w:hAnsi="Calibri"/>
          <w:b w:val="false"/>
          <w:bCs w:val="false"/>
          <w:i w:val="false"/>
          <w:iCs w:val="false"/>
          <w:sz w:val="21"/>
          <w:szCs w:val="21"/>
        </w:rPr>
        <w:t xml:space="preserve">To the maximum extent permitted by applicable law, GeneralLink shall not be liable for any indirect, incidental, special, consequential, or punitive damages, or any loss of profits, revenue, or data, arising from your use of the Platform. GeneralLink’s total aggregate liability for any claim arising out of or relating to these Terms shall not exceed the total Commission paid to you in the twelve (12) months preceding the event giving rise to the claim.</w:t>
      </w:r>
    </w:p>
    <w:p>
      <w:pPr>
        <w:pStyle w:val="Heading1"/>
        <w:spacing w:after="140" w:before="320"/>
      </w:pPr>
      <w:r>
        <w:rPr>
          <w:rFonts w:ascii="Calibri" w:cs="Calibri" w:eastAsia="Calibri" w:hAnsi="Calibri"/>
          <w:b/>
          <w:bCs/>
          <w:color w:val="1F3864"/>
          <w:sz w:val="26"/>
          <w:szCs w:val="26"/>
        </w:rPr>
        <w:t xml:space="preserve">12. Indemnification</w:t>
      </w:r>
    </w:p>
    <w:p>
      <w:pPr>
        <w:spacing w:after="140" w:line="276"/>
      </w:pPr>
      <w:r>
        <w:rPr>
          <w:rFonts w:ascii="Calibri" w:cs="Calibri" w:eastAsia="Calibri" w:hAnsi="Calibri"/>
          <w:b w:val="false"/>
          <w:bCs w:val="false"/>
          <w:i w:val="false"/>
          <w:iCs w:val="false"/>
          <w:sz w:val="21"/>
          <w:szCs w:val="21"/>
        </w:rPr>
        <w:t xml:space="preserve">You agree to indemnify and hold harmless GeneralLink, its officers, employees, and affiliates from any claim, loss, or expense (including reasonable legal fees) arising from your breach of these Terms, your misuse of the Platform, or your violation of any law or third-party right.</w:t>
      </w:r>
    </w:p>
    <w:p>
      <w:pPr>
        <w:pStyle w:val="Heading1"/>
        <w:spacing w:after="140" w:before="320"/>
      </w:pPr>
      <w:r>
        <w:rPr>
          <w:rFonts w:ascii="Calibri" w:cs="Calibri" w:eastAsia="Calibri" w:hAnsi="Calibri"/>
          <w:b/>
          <w:bCs/>
          <w:color w:val="1F3864"/>
          <w:sz w:val="26"/>
          <w:szCs w:val="26"/>
        </w:rPr>
        <w:t xml:space="preserve">13. Changes to These Terms</w:t>
      </w:r>
    </w:p>
    <w:p>
      <w:pPr>
        <w:spacing w:after="140" w:line="276"/>
      </w:pPr>
      <w:r>
        <w:rPr>
          <w:rFonts w:ascii="Calibri" w:cs="Calibri" w:eastAsia="Calibri" w:hAnsi="Calibri"/>
          <w:b w:val="false"/>
          <w:bCs w:val="false"/>
          <w:i w:val="false"/>
          <w:iCs w:val="false"/>
          <w:sz w:val="21"/>
          <w:szCs w:val="21"/>
        </w:rPr>
        <w:t xml:space="preserve">GeneralLink may update these Terms from time to time to reflect changes in the Platform, our practices, or applicable law. Where a new version is published, you will be required to review and re-accept the updated Terms before continuing to access the Platform, as described in our consent management process.</w:t>
      </w:r>
    </w:p>
    <w:p>
      <w:pPr>
        <w:pStyle w:val="Heading1"/>
        <w:spacing w:after="140" w:before="320"/>
      </w:pPr>
      <w:r>
        <w:rPr>
          <w:rFonts w:ascii="Calibri" w:cs="Calibri" w:eastAsia="Calibri" w:hAnsi="Calibri"/>
          <w:b/>
          <w:bCs/>
          <w:color w:val="1F3864"/>
          <w:sz w:val="26"/>
          <w:szCs w:val="26"/>
        </w:rPr>
        <w:t xml:space="preserve">14. Governing Law and Dispute Resolution</w:t>
      </w:r>
    </w:p>
    <w:p>
      <w:pPr>
        <w:spacing w:after="140" w:line="276"/>
      </w:pPr>
      <w:r>
        <w:rPr>
          <w:rFonts w:ascii="Calibri" w:cs="Calibri" w:eastAsia="Calibri" w:hAnsi="Calibri"/>
          <w:b w:val="false"/>
          <w:bCs w:val="false"/>
          <w:i w:val="false"/>
          <w:iCs w:val="false"/>
          <w:sz w:val="21"/>
          <w:szCs w:val="21"/>
        </w:rPr>
        <w:t xml:space="preserve">These Terms are governed by the laws of Malaysia. Any dispute arising out of or in connection with these Terms shall first be attempted to be resolved amicably; failing which, the dispute shall be subject to the exclusive jurisdiction of the courts of Malaysia, subject to any mandatory consumer protection rights available to you under Malaysian law.</w:t>
      </w:r>
    </w:p>
    <w:p>
      <w:pPr>
        <w:pStyle w:val="Heading1"/>
        <w:spacing w:after="140" w:before="320"/>
      </w:pPr>
      <w:r>
        <w:rPr>
          <w:rFonts w:ascii="Calibri" w:cs="Calibri" w:eastAsia="Calibri" w:hAnsi="Calibri"/>
          <w:b/>
          <w:bCs/>
          <w:color w:val="1F3864"/>
          <w:sz w:val="26"/>
          <w:szCs w:val="26"/>
        </w:rPr>
        <w:t xml:space="preserve">15. Contact Us</w:t>
      </w:r>
    </w:p>
    <w:p>
      <w:pPr>
        <w:spacing w:after="140" w:line="276"/>
      </w:pPr>
      <w:r>
        <w:rPr>
          <w:rFonts w:ascii="Calibri" w:cs="Calibri" w:eastAsia="Calibri" w:hAnsi="Calibri"/>
          <w:b w:val="false"/>
          <w:bCs w:val="false"/>
          <w:i w:val="false"/>
          <w:iCs w:val="false"/>
          <w:sz w:val="21"/>
          <w:szCs w:val="21"/>
        </w:rPr>
        <w:t xml:space="preserve">For questions about these Terms, please contact [COMPANY NAME] at [CONTACT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before="100"/>
      <w:jc w:val="center"/>
    </w:pPr>
    <w:r>
      <w:rPr>
        <w:rFonts w:ascii="Calibri" w:cs="Calibri" w:eastAsia="Calibri" w:hAnsi="Calibri"/>
        <w:color w:val="595959"/>
        <w:sz w:val="15"/>
        <w:szCs w:val="15"/>
      </w:rPr>
      <w:t xml:space="preserve">GLADE — Terms of Use — DRAFT for legal review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00000"/>
        <w:sz w:val="15"/>
        <w:szCs w:val="15"/>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2026-08-05T07:03:20.231Z</dcterms:created>
  <dcterms:modified xsi:type="dcterms:W3CDTF">2026-08-05T07:03:20.231Z</dcterms:modified>
</cp:coreProperties>
</file>

<file path=docProps/custom.xml><?xml version="1.0" encoding="utf-8"?>
<Properties xmlns="http://schemas.openxmlformats.org/officeDocument/2006/custom-properties" xmlns:vt="http://schemas.openxmlformats.org/officeDocument/2006/docPropsVTypes"/>
</file>