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126.0  |  File: master-spec-v152-080926</w:t>
      </w:r>
    </w:p>
    <w:p w14:paraId="18C8F775" w14:textId="77777777" w:rsidR="00B95A99" w:rsidRDefault="00000000">
      <w:pPr>
        <w:spacing w:after="200"/>
        <w:jc w:val="center"/>
      </w:pPr>
      <w:r>
        <w:t>Date: 08/09/2026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sectPr w:rsidR="004B7C08">
      <w:pgSz w:w="12240" w:h="15840"/>
      <w:pgMar w:top="1440" w:right="1440" w:bottom="1440" w:left="1440" w:header="708" w:footer="708" w:gutter="0"/>
      <w:cols w:space="720"/>
      <w:docGrid w:linePitch="360"/>
    </w:sectPr>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p>
      <w:pPr/>
      <w:r>
        <w:rPr>
          <w:b/>
        </w:rPr>
        <w:t>85. Session Update — Bank Reconciliation Module Complete Build to Chris’s 23-Section Spec: Bank Transaction Entry, GL-Based Matching Engine, Bank Adjustments, Enquiry Screens, Full Reports Suite, GL Drill-Down, Approval Workflow, Audit Trail, Sidebar Reposition (8 Sep 2026, Task #396)</w:t>
      </w:r>
    </w:p>
    <w:p>
      <w:pPr/>
      <w:r>
        <w:rPr>
          <w:b w:val="0"/>
        </w:rPr>
        <w:t xml:space="preserve">Chris asked for the Bank Reconciliation Module to be built out completely against his own written 23-section specification, in sequential phases, with a submenu placed immediately after Fixed Assets Register in the sidebar, each phase delivered as one ready-to-run php artisan migrate command with a plain-language explanation, and no phase started until the previous one was confirmed working. Phase 1 (Master Setup) built the master-file layer the rest of the module depends on: Bank Transaction Types, configurable Bank Reconciliation Rules (matching tolerance and date window), and additional fields on the existing Bank Accounts Master.</w:t>
      </w:r>
    </w:p>
    <w:p>
      <w:pPr/>
      <w:r>
        <w:rPr>
          <w:b w:val="0"/>
        </w:rPr>
        <w:t xml:space="preserve">Phase 2 (Bank Transaction Entry) added cbe_bank_transactions as a standalone table of raw bank-statement lines — decoupled from any one reconciliation, entered manually or imported from CSV/Excel via a new BankTransactionImportService (stage-then-commit pattern with a downloadable template, using PhpSpreadsheet for both the import and Excel export sides of the whole module) — with signed amounts, status (Unreconciled/Matched/Reconciled) and source (Manual/Import/Adjustment). One migration hit MySQL’s 64-character identifier limit on an auto-generated foreign-key name (cbe_bank_transaction_import_rows_committed_transaction_id_foreign, 65 characters); the migration had already partially applied before failing, since MySQL DDL is not transactional, so Chris ran a one-off cleanup command to drop the partial tables before the corrected migration ran successfully.</w:t>
      </w:r>
    </w:p>
    <w:p>
      <w:pPr/>
      <w:r>
        <w:rPr>
          <w:b w:val="0"/>
        </w:rPr>
        <w:t xml:space="preserve">Phase 3 (Reconciliation Entry rebuild) is the heart of the module: rather than matching against the older cbe_transactions table, the system side of every match is the bank account’s own GL journal lines directly (cbe_journal_lines joined through cbe_journal_entries), which automatically covers postings from every module that touches that bank account — AP bill payments, AR receipts, bank transfers, and Fixed Asset disposal proceeds — without any extra wiring. A new cbe_bank_reconciliation_matches table groups bank-side and system-side rows under one match_group_id, validated by aggregate-sum comparison within the Phase 1 tolerance settings, so 1:1, 1:many and many:1 matches are all supported through the same generic structure. A new Bank Adjustment Entry screen records a bank charge, interest, or other bank-initiated event as both a bank transaction and a GL journal in one step, then immediately links the two as a match, since they are definitionally the same event.</w:t>
      </w:r>
    </w:p>
    <w:p>
      <w:pPr/>
      <w:r>
        <w:rPr>
          <w:b w:val="0"/>
        </w:rPr>
        <w:t xml:space="preserve">Phase 4 added four Enquiry screens (Bank Account, Bank Transaction, Reconciliation, Unmatched Transactions), all following the same search-then-list pattern used everywhere else in the app. Phase 5 built a full Bank Reconciliation Reports Hub with ten reports — Bank Account Listing, Bank Transaction Report, Bank Reconciliation Statement, Outstanding Cheques, Deposits in Transit, Unmatched Bank Transactions, Bank Charges, Bank Interest, plus the pre-existing Bank Reconciliation Listing and Bank Reconciliation/GL reconciliation reports — reached from one hub page and from the sidebar, mirroring the Fixed Asset Reports Hub exactly.</w:t>
      </w:r>
    </w:p>
    <w:p>
      <w:pPr/>
      <w:r>
        <w:rPr>
          <w:b w:val="0"/>
        </w:rPr>
        <w:t xml:space="preserve">Phase 6 wired GL drill-down in both directions — a bank transaction links forward to the journal it was matched against, and a Journal Voucher links back to the bank reconciliation it was matched under — and added duplicate-posting protection on manual bank transaction entry, keyed on bank account, date, amount and reference number, but only when a reference number is actually provided, since date-and-amount alone is too weak a key when multiple donations of the same amount land on the same day. While researching AR/AP matching completeness for Phase 7, it became clear that cbe_contribution_payments (the Event/Donation module) has no GL posting at all, unlike cbe_transactions — a pre-existing gap in that separate module, not a Bank Reconciliation deficiency, and outside this module’s scope to fix; a cosmetic bank_account_id column was deliberately not added there, since it would not have made donation receipts actually reconcilable.</w:t>
      </w:r>
    </w:p>
    <w:p>
      <w:pPr/>
      <w:r>
        <w:rPr>
          <w:b w:val="0"/>
        </w:rPr>
        <w:t xml:space="preserve">Phase 7 added Reconciliation Status and Approval Control per spec section 20: the cbe_bank_reconciliations status enum was widened to add PENDING_APPROVAL between the existing DRAFT and COMPLETED, so that when a node’s Maker-Checker setting is enabled, completing a reconciliation now stops at Pending Approval until a different officer (or an Admin) approves it from the same shared Approvals screen already used for Bill Payments and Bank Transfers — same canApprove() self-approval block, same approve/reject dispatcher, extended rather than duplicated. A new cbe_bank_reconciliation_audit_log table (append-only, mirroring the Fixed Asset and Purchasing audit logs exactly) now records every reconciliation action — created, matched, unmatched, adjustment added, completed, submitted, approved, rejected, reopened — with its own browsable Audit Trail screen reached from the Reports Hub. A second migration hiccup surfaced here: an auto-generated composite index name on the new audit log table (cbe_bank_reconciliation_audit_log_cbe_node_id_reconciliation_id_index) also exceeded MySQL’s 64-character limit, caught the same way as the Phase 2 issue and fixed with explicit short index names after a table-drop cleanup. Phase 7 also disclosed, rather than silently built around, two more gaps: Period Control does not meaningfully extend beyond the existing Bank Adjustment period-lock, since ordinary bank transaction entry and matching do not themselves mutate GL balances; and Security (spec sections 27–28) has no granular per-action permission engine anywhere in this application, in any module — the entire model is one accounting-admin role check plus the Maker-Checker approval gate, the same disclosure already made during the Fixed Asset arc.</w:t>
      </w:r>
    </w:p>
    <w:p>
      <w:pPr/>
      <w:r>
        <w:rPr>
          <w:b w:val="0"/>
        </w:rPr>
        <w:t xml:space="preserve">Phase 8 moved the Bank Reconciliation sidebar section to sit immediately after Fixed Assets Register, per Chris’s original placement instruction (it had been sitting between Cash &amp; Bank Management and Accounts Payable since Phase 1, before Fixed Assets existed as a later reference point), and ran a final verification sweep across the whole 8-phase arc: every touched PHP file — the accounting controller, the finance controller, the accounting service, the bank transaction import service, and every migration — was balance-checked for matching braces/brackets/parentheses/quotes; every English/Malay/Chinese language file was checked for exact 3-way key parity and zero duplicates (cbe_accounting.php: 1,302 keys; cbe_records.php: 224 keys, both fully matched across all three languages); and all 30 Bank Reconciliation-related routes were traced to a real controller method and a real, existing view file.</w:t>
      </w:r>
    </w:p>
    <w:p>
      <w:pPr/>
      <w:r>
        <w:rPr>
          <w:b w:val="0"/>
        </w:rPr>
        <w:t xml:space="preserve">STATUS: The Bank Reconciliation Module (Task #396) is now complete end-to-end against every one of Chris’s 23 written spec sections — Master Setup, Transaction Entry, Reconciliation Entry, Matching, Bank Adjustments, Enquiry, Reports, GL Integration, Duplicate Prevention, GL Drill-Down, Approval Control and Audit Trail — with two disclosed exceptions carried forward rather than fabricated: the Event/Donation module’s missing GL posting (a separate, pre-existing gap, not part of this module), and the absence of a granular per-action permission engine anywhere in this application. All migrations from Phases 1, 2, 3 and 7 have been run and confirmed by Chris; Phases 4, 5, 6 and 8 required no new migration.</w:t>
      </w:r>
    </w:p>
    <w:p>
      <w:r>
        <w:rPr>
          <w:b/>
        </w:rPr>
        <w:t>86. Session Update — AI-Powered Accounting Automation Management Module Complete Build, 11 Phases: PDF Statement Extraction, Rule-Based Classification, Draft Master Creation, GL Posting Engine, AP/AR &amp; Fixed Asset Intelligence, Multi-Year Continuity, Learning Engine &amp; Exception Centre, Complete Audit Trail, ROS Reporting Tie-In, Sidebar Finalisation (8 Sep 2026, Task #397)</w:t>
      </w:r>
    </w:p>
    <w:p>
      <w:r>
        <w:t>Chris asked for a full AI-Powered Accounting Automation Management Module, built in sequential phases against his own written specification, each phase delivered as one ready-to-run php artisan migrate command with a plain-language explanation, and no phase started until the previous one was confirmed working — the same operating rhythm used for the Fixed Asset and Bank Reconciliation module arcs. Midway through scoping, Chris asked whether this module could be merged with the pre-existing "ROS / Regulatory Reporting" sidebar section; the agreed design keeps two sidebar entry points (AI Accounting Automation for processing, ROS/Regulatory Reporting for annual compliance output) sharing one GL-based reporting engine underneath, rather than building a second, parallel report generator.</w:t>
      </w:r>
    </w:p>
    <w:p>
      <w:r>
        <w:t>Phase 1 (Upload + Extraction) built PdfStatementExtractionService, which reads digital-text bank statement PDFs — no OCR, so scanned/photographed statements are explicitly rejected rather than guessed at — and stages every identifiable transaction line for review; nothing posts to the books until Chris checks and commits. New tables: cbe_ai_statement_batches, cbe_ai_statement_documents, cbe_ai_extracted_transactions.</w:t>
      </w:r>
    </w:p>
    <w:p>
      <w:r>
        <w:t>Phase 2 (Rule-Based Classification) added TransactionClassificationService, which classifies each line into one of ten categories (Supplier, Customer, Donation, Membership, Asset, Transfer, Bank Charge, Loan, Adjustment, Other) using either a learned rule (cbe_ai_classification_rules, reinforced every time Chris confirms or corrects a category) or one of eight built-in generic keyword rules; no confident match leaves the category null rather than guessing. The same pass pairs same-amount credit/debit lines within a statement as a possible restricted/designated fund — the RM50,000 donation-in/disbursement-out pattern Chris flagged from his friend's FTAM Klang reference file — and flags it for his confirmation instead of silently blending it into ordinary income or expense.</w:t>
      </w:r>
    </w:p>
    <w:p>
      <w:r>
        <w:t>Phase 3 (Draft Master Creation) added PartyMatchingService, which suggests a supplier/customer/donor name from the transaction description using only real signal, never a fabricated guess, matches it to an existing master record by exact name, or creates a new one flagged is_draft = true for Chris to confirm or correct — never done silently before he has seen and can edit it.</w:t>
      </w:r>
    </w:p>
    <w:p>
      <w:r>
        <w:t>Phase 4 (GL Posting Engine) added new orchestration methods directly on the existing CbeAccountingService, not a parallel service, so they could reuse its private posting helpers: AI-classified bank transactions post through the same postJournal() every other module uses, for categories that need no subledger (Bank Charge, Donation, Membership, Adjustment, Other) and only when confidence clears the auto-post threshold. Supplier, Customer and Asset categories were deliberately excluded here to avoid double-posting once Phases 5 and 6 handled them properly.</w:t>
      </w:r>
    </w:p>
    <w:p>
      <w:r>
        <w:t>Phase 5 (AP/AR Posting) added allocateAiPaymentToBillOrInvoice(), which matches a Supplier/Customer payment against a real, already-open bill or invoice for that exact party and amount, and posts through the existing postBillPayment()/postInvoicePayment() — including the same maker-checker approval gate bill payments already have. This is deliberately conservative: most of Chris's direct-cheque payments will not have a pre-recorded bill to match, which was disclosed to him as expected behaviour, not a bug.</w:t>
      </w:r>
    </w:p>
    <w:p>
      <w:r>
        <w:t>Phase 6 (Fixed Asset Intelligence) matches a detected asset purchase against the app's real twelve seeded asset categories (Land, Buildings, Renovation, Furniture &amp; Fittings, Office Equipment, Computer Equipment, Audio Visual Equipment, Electrical Equipment, Vehicles, Religious Equipment, Kitchen Equipment, Other Fixed Assets) by keyword, capitalises it via the existing createFixedAssetDirect(), and treats the vendor as an ordinary cbe_suppliers record rather than a new master table.</w:t>
      </w:r>
    </w:p>
    <w:p>
      <w:r>
        <w:t>Phase 7 (Multi-Year Continuity) added StatementContinuityService, which checks a newly uploaded statement's opening balance against what the GL says it should be — computed purely from the bank account's real opening balance plus everything posted since, never invented — and flags a mismatch over RM1 or a gap of three days or more since the last statement uploaded for that account. Chris explicitly scoped this phase to continuity checks only, via a direct clarifying question, deferring a general accrual/prepayment/suspense-account checklist as separate future work since it risked overlapping the existing Year-End Closing feature.</w:t>
      </w:r>
    </w:p>
    <w:p>
      <w:r>
        <w:t>Phase 8 (Learning Engine + Exception Centre) added a Learned Rules screen showing and letting Chris deactivate any rule the system has learned, alongside a per-node configurable auto-post confidence threshold (cbe_ai_automation_settings, replacing a hardcoded 60 used throughout Phases 4–6), and a new Exception Management Centre screen grouping every outstanding item — unclassified, low confidence, restricted fund, draft masters, continuity, unmatched AP/AR — by type with counts, rather than one-by-one prompts, per Chris's own "temporary ledger, row by row" request.</w:t>
      </w:r>
    </w:p>
    <w:p>
      <w:r>
        <w:t>Phase 9 (Complete Audit Trail) added cbe_ai_audit_log, mirroring the existing Purchasing/Fixed Asset/Bank Reconciliation audit log pattern exactly: it records every upload, parse (success or failure), continuity flag, commit — with the full reasoning behind it (category, classification source, confidence, party match, posting outcome) — rejection, duplicate skip, and threshold/rule change. Anything the AI could not confidently resolve is written to the log as "Unverified," never guessed.</w:t>
      </w:r>
    </w:p>
    <w:p>
      <w:r>
        <w:t>Phase 10 (Reporting Tie-In) confirmed that AI-posted transactions already flow correctly into Trial Balance, Profit &amp; Loss, Balance Sheet and Cash Flow, since they post through the same GL tables as every manual entry, and found and fixed the one place that did not: the Annual Report Pack's Income &amp; Expenditure tab was calculating from a legacy table instead of the same GL-based helper the standalone Profit &amp; Loss report already used, meaning AI-sourced entries would have been silently missing from that one export only. Also confirmed no "Form 9" mislabeling exists anywhere in the ROS module (that term correctly appears only in the unrelated Vendor/SSM document checklist) and that the restricted-fund flagging built in Phase 2 already routes to the Phase 8 Exception Centre — both were already correct, nothing to fix. Matching the Annual Report Pack's exact layout to the live eROSES Penyata Tahunan portal format is deferred to a separate future task pending screenshots from Chris.</w:t>
      </w:r>
    </w:p>
    <w:p>
      <w:r>
        <w:t>Phase 11 (Final Verification) confirmed the AI Accounting Automation sidebar section sits immediately after Bank Reconciliation as instructed; balance-checked every PHP file in the module — the controller, five services, and nine migrations — for matching braces, brackets and parentheses; traced all 13 AI module routes to a real controller method and, where applicable, a real existing view (seven Blade views, all using the same fixed-height no-scroll container and Prev/Next-only pagination as every other screen in the app); and confirmed the English/Malay/Chinese cbe_ai.php language file has exact three-way key parity with zero duplicates across all 144 keys.</w:t>
      </w:r>
    </w:p>
    <w:p>
      <w:r>
        <w:t>STATUS: The AI-Powered Accounting Automation Management Module (Task #397) is now complete end-to-end across all 11 phases, sharing one GL posting engine and one GL-based reporting engine with the rest of the application rather than any parallel logic. Disclosed limitations carried forward rather than fabricated: AP/AR auto-matching only helps when a bill or invoice is already recorded; posting_note/flag_note store translated text rather than a stable code, a theoretical locale-switch fragility consistent with the pre-existing pattern elsewhere in the app; and the Annual Report Pack's exact layout has not yet been matched to the live eROSES portal, pending screenshots from Chris. All 9 migrations (Phases 1–9) have been run and confirmed by Chris; Phases 10 and 11 required no new migration.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