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133.0  |  File: master-spec-v161-190926</w:t>
      </w:r>
    </w:p>
    <w:p w14:paraId="18C8F775" w14:textId="77777777" w:rsidR="00B95A99" w:rsidRDefault="00000000">
      <w:pPr>
        <w:spacing w:after="200"/>
        <w:jc w:val="center"/>
      </w:pPr>
      <w:r>
        <w:t>Date: 19/09/2026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p w14:paraId="5AFF68BB" w14:textId="77777777" w:rsidR="00B95A99" w:rsidRDefault="00000000">
      <w:pPr>
        <w:spacing w:before="400" w:after="200"/>
      </w:pPr>
      <w:r>
        <w:rPr>
          <w:b/>
          <w:bCs/>
          <w:color w:val="0D5A8E"/>
        </w:rPr>
        <w:t>v161 (19/09/2026) — Extended AI-power keyword auto-suggest (category + GL code) to AR Invoices, AP Bills, GL Journal Voucher/Adjustment Journal/Accrual Journal, Bank Reconciliation adjustments, and Fixed Assets (per Chris's 19 Sep 2026 request to apply it across all Treasury Management programs).</w:t>
      </w:r>
    </w:p>
    <w:p w14:paraId="5AFF68BB" w14:textId="77777777" w:rsidR="00B95A99" w:rsidRDefault="00000000">
      <w:pPr>
        <w:spacing w:before="400" w:after="200"/>
      </w:pPr>
      <w:r>
        <w:rPr>
          <w:b/>
          <w:bCs/>
          <w:color w:val="0D5A8E"/>
        </w:rPr>
        <w:t>v160 (19/09/2026) — Added Section 37.0.6 Mandatory Confirmation Rule: assistant must ask Chris to confirm before building on any unclear/specific request, never proceed on its own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r/>
    </w:p>
    <w:p>
      <w:pPr>
        <w:pStyle w:val="Heading2"/>
      </w:pPr>
      <w:r>
        <w:t>37.0.6 Mandatory Confirmation Rule (Effective 19 Sep 2026)</w:t>
      </w:r>
    </w:p>
    <w:p>
      <w:pPr/>
      <w:r>
        <w:t>— The assistant must NEVER act on its own interpretation of an ambiguous or ambitious instruction and must NEVER silently substitute its own design/technical judgement for what Chris actually asked, when what he asked is a specific, concrete request (not a general design/architecture decision already delegated to the assistant under the separate Technical Authority Delegation rule).</w:t>
      </w:r>
    </w:p>
    <w:p>
      <w:pPr/>
      <w:r>
        <w:t>— If a request is unclear, or could reasonably be done more than one way, the assistant must ask Chris to confirm exactly what he wants BEFORE building anything — not build a guessed version first and correct it afterward.</w:t>
      </w:r>
    </w:p>
    <w:p>
      <w:pPr/>
      <w:r>
        <w:t>— If Chris has already shown a reference screen/screenshot or named an existing screen to copy, the assistant must match that reference exactly (structure, layout, logic) — not a reinterpreted or partial version of it.</w:t>
      </w:r>
    </w:p>
    <w:p>
      <w:pPr/>
      <w:r>
        <w:t>— Trigger: raised by Chris on 19 Sep 2026 after repeated instances this session where the assistant proceeded on its own interpretation instead of clarifying first, causing rework and wasted time. Chris's own words: "dont waste my time telling you the simple request and you still didnt do what i want and you like to decide on your own interpretation without asking me. this is 100% unacceptable."</w:t>
      </w:r>
    </w:p>
    <w:p>
      <w:pPr/>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p>
      <w:pPr/>
      <w:r>
        <w:rPr>
          <w:b/>
        </w:rPr>
        <w:t>82. Session Update — Purchasing Management Module Phase 2 Complete: Goods/Service Receipt, Purchase Return, Supplier Invoice 3-Way Matching, Budget &amp; Purchase Commitment, Full Reports Suite (4 Sep 2026, Task #394, Phase 2)</w:t>
      </w:r>
    </w:p>
    <w:p>
      <w:pPr/>
      <w:r>
        <w:rPr>
          <w:b w:val="0"/>
        </w:rPr>
        <w:t>Completed Phase 2 of the Purchasing Management module (queued at the end of item #81/Phase 1), closing out every remaining piece of Chris’s original written specification: Goods/Service Receipt, Purchase Return, Supplier Invoice 3-way matching, Budget &amp; Purchase Commitment, and the full Purchasing reports suite.</w:t>
      </w:r>
    </w:p>
    <w:p>
      <w:pPr/>
      <w:r>
        <w:rPr>
          <w:b w:val="0"/>
        </w:rPr>
        <w:t>Goods/Service Receipt (GRN): records what was actually received against a Purchase Order — goods delivery or service completion, one shared table with a type flag since both follow the identical receive-against-PO workflow. Supports partial receipt (a PO can have several GRNs over time), tracks received/rejected quantity and a condition note (Good/Damaged/Short) per line, and keeps a running cumulative received-quantity total on each PO line so the PO’s own status (Open / Partially Received / Fully Received) updates automatically without re-summing every GRN each time. Cancelling a GRN reverses that running total and recomputes the PO status.</w:t>
      </w:r>
    </w:p>
    <w:p>
      <w:pPr/>
      <w:r>
        <w:rPr>
          <w:b w:val="0"/>
        </w:rPr>
        <w:t>Purchase Return: goods returned to a supplier, always entered against an existing GRN (not directly against a PO), with its own reason and status lifecycle (Draft / Confirmed / Credit Raised / Cancelled). Raising a Debit Note from a Purchase Return pre-fills the supplier, amount (summed from the return’s lines) and reason, and writes the link back onto the return (status moves to Credit Raised, with the Debit Note’s reference stored) so the two documents stay traceable to each other — completing the drill-down chain the spec asked for (GL Journal → Debit Note → Purchase Return → GRN → PO).</w:t>
      </w:r>
    </w:p>
    <w:p>
      <w:pPr/>
      <w:r>
        <w:rPr>
          <w:b w:val="0"/>
        </w:rPr>
        <w:t>Supplier Invoice 3-way matching: a Supplier Invoice can now be created directly from a confirmed GRN, showing the GRN’s received quantity and the PO’s unit price as read-only reference columns alongside editable invoiced quantity/price fields. On save, the invoiced amounts are compared against the PO (price) and the GRN (quantity) with a small tolerance, and the bill is tagged with a match status — Matched, Price Variance, Quantity Variance, No PO, or No GRN — shown as a badge on the Bill Enquiry screen. The GRN is marked Posted once billed, which doubles as duplicate-billing control at the source-document level (the same GRN cannot be invoiced twice). A second, simpler duplicate-invoice-number check was also added to the existing quick PO-to-Bill conversion path: the same supplier cannot have two bills recorded under the same invoice number (a friendly on-screen check backed by a database unique index).</w:t>
      </w:r>
    </w:p>
    <w:p>
      <w:pPr/>
      <w:r>
        <w:rPr>
          <w:b w:val="0"/>
        </w:rPr>
        <w:t>Budget &amp; Purchase Commitment: a lighter-weight design than the spec’s full budget-versioning example, decided directly per Chris’s standing instruction not to be asked accounting-design questions — one budget line per node/fiscal year, optionally scoped to a Department/Project and/or Fund (left blank for an all-scope budget). A Budget Utilisation report (kept on-screen with Prev/Next year navigation, rather than an Excel download, since it is meant to be checked routinely rather than filed) shows, per budget line: the budget amount, PO Commitment (approved POs not yet closed or cancelled), Actual Invoice (non-cancelled bills), Actual Payment, Remaining, and Utilisation %. Commitment and Actual Invoice never double-count the same spend, because a PO automatically moves to Closed status once it has been fully billed.</w:t>
      </w:r>
    </w:p>
    <w:p>
      <w:pPr/>
      <w:r>
        <w:rPr>
          <w:b w:val="0"/>
        </w:rPr>
        <w:t>Purchasing Reports: a new Purchasing Reports Hub groups 7 new downloadable Excel reports — Purchase Requisition Listing, Cancelled Purchase Orders, Purchase Return Listing, PO/GRN/Invoice Matching Variance, Unbilled Goods/Service Received, Pending Approval Listing (Purchase Requisitions and Purchase Orders awaiting approval in one sheet), and Purchase by Department/Fund (a single report with a Group By selector, rather than two near-identical reports) — plus links out to the existing PO Outstanding report, the on-screen Budget Utilisation report, and the Expense-by-Supplier/Expense-by-Category reports already built in the AP Reports Hub (not duplicated here). The main Purchasing hub screen was tidied to match: PO Outstanding and Budget Utilisation moved into the new Reports Hub, and a single "Purchasing Reports" tile added, keeping the transactional hub focused on the day-to-day procurement chain (Suppliers → Requisition → Quotation → Order → Bill → Goods Receipt → Return → Budget) the same way AP and AR already separate their own transactional hub from their Reports Hub.</w:t>
      </w:r>
    </w:p>
    <w:p>
      <w:pPr/>
      <w:r>
        <w:rPr>
          <w:b w:val="0"/>
        </w:rPr>
        <w:t>Two bugs were self-caught and fixed before shipping, not reported by Chris: a Purchase Requisition migration originally added a redundant ‘purpose’ column, caught while wiring the create-requisition screen because the existing ‘description’ field was already labelled Purpose on screen — removed before it was ever used. A GRN screen initially reused an unrelated existing lang key (‘Raised from Purchase Request :ref’) to show its originating Purchase Order reference; caught on inspection and replaced with a dedicated key with the correct wording. A near-duplicate lang key (error_po_not_open) was also caught by this session’s duplicate-key check before it could silently collide with an existing key of the same name.</w:t>
      </w:r>
    </w:p>
    <w:p>
      <w:pPr/>
      <w:r>
        <w:rPr>
          <w:b w:val="0"/>
        </w:rPr>
        <w:t>Chris reported one blocking migration error this session: a MySQL identifier-length overflow (Identifier name ‘cbe_document_sequence_resets_cbe_node_id_doc_type_year_month_index’ is too long) on an unnamed multi-column index from the immediately preceding session’s Document Number Control migration. Fixed by giving that index an explicit short name, then proactively checked every other pending migration for the same risk (none found) before re-issuing the migrate command, which Chris then ran successfully.</w:t>
      </w:r>
    </w:p>
    <w:p>
      <w:pPr/>
      <w:r>
        <w:rPr>
          <w:b w:val="0"/>
        </w:rPr>
        <w:t>Every change in this arc was verified directly against the live code before being marked complete: all 9 Phase 2 migrations (including the new add_return_id_to_debit_notes, not yet run), the accounting service, the accounting controller, routes, every new and modified screen, and all 3 language files were brace/syntax balance-checked; all 283 routes bound to this controller were traced to an existing controller method with zero missing; all 122 distinct views referenced by the controller were confirmed to exist on disk; language keys were confirmed to resolve with zero duplicates and full parity across English, Malay and Chinese (1084 keys each, up from 980 at the end of Phase 1).</w:t>
      </w:r>
    </w:p>
    <w:p>
      <w:pPr/>
      <w:r>
        <w:rPr>
          <w:b w:val="0"/>
        </w:rPr>
        <w:t>Database migrations: 1 new migration was created this session and has not yet been run against the live database — add_return_id_to_debit_notes (adds a traceability link from a Debit Note back to the Purchase Return that prompted it). The 12 migrations from Phase 1 and the immediately preceding session have already been run successfully. Chris still needs to run php artisan migrate for this one remaining migration.</w:t>
      </w:r>
    </w:p>
    <w:p>
      <w:pPr/>
      <w:r>
        <w:rPr>
          <w:b w:val="0"/>
        </w:rPr>
        <w:t>STATUS: Purchasing Management Module (Task #394) is now complete end-to-end against Chris’s original written specification: Supplier Master → Purchase Requisition → Purchase Quotation → Purchase Order (with Maker-Checker approval) → Goods/Service Receipt → Purchase Return → Supplier Invoice (3-way matched) → AP → Payment → GL, plus Budget &amp; Purchase Commitment and a full Purchasing Reports suite. Deliberate, disclosed scope simplifications versus the original spec: PO approval reuses the existing per-node Maker-Checker RM-threshold control rather than a new multi-dimensional (amount/department/fund/category/capex/role) rules engine; document numbering kept Chris’s own previously-directed monthly-band (MMSSS) scheme rather than the spec’s illustrative continuous-year example; Budget Control does not track multiple budget versions/revisions. No open gaps identified against the Purchasing spec at this time.</w:t>
      </w:r>
    </w:p>
    <w:p>
      <w:pPr/>
      <w:r>
        <w:rPr>
          <w:b/>
        </w:rPr>
        <w:t>83. Session Update — Purchasing Module Gap-Closure: Drill-Down Links, Supplier Procurement History, Capital Asset Purchase Flow, GL Posting Control Status Trail, Purchasing Audit Trail (4 Sep 2026, Task #394 gap-fix)</w:t>
      </w:r>
    </w:p>
    <w:p>
      <w:pPr/>
      <w:r>
        <w:rPr>
          <w:b w:val="0"/>
        </w:rPr>
        <w:t>Chris asked directly, after the Phase 2 completion message: “have you done evrything i want in purchasing Module?” Rather than reflexively confirming, the live code was re-checked against Chris's original written 31-section specification section by section — Supplier Enquiry, Drill-Down, GL Integration/Posting Control, Capital Asset Purchase flow and Audit Trail in particular. This surfaced 5 real gaps, which were disclosed honestly (“So: not everything, no.”) before any further work was done. Chris replied: “complete everything dont leave any gap.” This item records the full closure of all 5 gaps.</w:t>
      </w:r>
    </w:p>
    <w:p>
      <w:pPr/>
      <w:r>
        <w:rPr>
          <w:b w:val="0"/>
        </w:rPr>
        <w:t>Gap 1 — Drill-down links: several purchasing screens referenced a source or destination document by number only, with no way to click through. Purchase Order now links back to its originating Purchase Request and forward to every Bill raised against it; Goods Receipt links back to its Purchase Order; Purchase Return links to both its Goods Receipt and Purchase Order (this also caught and fixed a pre-existing label bug — the Purchase Return screen was showing the GRN reference number under an “Against Purchase Order” label, a real copy/paste mismatch from an earlier session); Bill Enquiry now links to its Purchase Order and Goods Receipt; every supplier name shown across these screens now links to Supplier Enquiry. A brand-new Purchase Request detail screen was also built, since requisitions previously had no dedicated show page at all — the requisition listing now links into it.</w:t>
      </w:r>
    </w:p>
    <w:p>
      <w:pPr/>
      <w:r>
        <w:rPr>
          <w:b w:val="0"/>
        </w:rPr>
        <w:t>Gap 2 — Supplier Procurement History: Supplier Enquiry only ever showed the Accounts Payable side of a supplier (bills, payments, notes), with no view of the purchasing side (requisitions, quotations, orders, receipts, returns). A new Supplier Procurement History screen was built, combining all five document types for one supplier into a single date-ordered activity list with a status column and a drill-down link on every row, reached via a new “Purchasing Activity” button on Supplier Enquiry.</w:t>
      </w:r>
    </w:p>
    <w:p>
      <w:pPr/>
      <w:r>
        <w:rPr>
          <w:b w:val="0"/>
        </w:rPr>
        <w:t>Gap 3 — Capital Asset Purchase flow: the spec asks for a Purchasing → Invoice → AP → Fixed Asset → GL flow when a purchase is for a capital item rather than an expense. Tracing through how this system actually posts to the General Ledger mattered here: a Bill already posts its journal entry (Dr the category's mapped GL account / Cr Accounts Payable) the instant it is created, so if a Bill's line is coded to a Fixed Asset account, the balance sheet is already correctly capitalised at that moment. The new “Create Fixed Asset” action on Bill Enquiry therefore only creates the depreciation-tracking register entry, carrying across the cost, date and the Bill's own already-posted journal reference — it deliberately does not post a second journal entry, which would have double-counted the asset. While designing this, a genuine pre-existing bug was self-caught and fixed: the asset-capitalisation posting method has checked a journal_id column on the fixed asset table as a duplicate-posting guard since an earlier session, but that column was never actually added to the table — meaning the guard silently did nothing the whole time. This is fixed by a new migration adding the missing journal_id, gl_posting_status and bill_id columns, and by wiring the guard's own update call that had been missing.</w:t>
      </w:r>
    </w:p>
    <w:p>
      <w:pPr/>
      <w:r>
        <w:rPr>
          <w:b w:val="0"/>
        </w:rPr>
        <w:t>Gap 4 — GL Posting Control status trail: the spec describes named posting-control stages (Ready for AP, AP Invoice Created, GL Posted, plus Error/Reversed states). This system's GL posting is synchronous, not a staged queue — there is no batch or async posting step anywhere — so rather than fabricating workflow states that do not really exist, a computed status (worked out fresh each time the Purchase Order screen is opened, not stored in the database) honestly maps the PO's real approval/status data and its linked Bills' real posting status onto the closest matching named stage. Purchase Order now shows a horizontal step tracker (Ready for AP → AP Invoice Created → GL Posted) with a separate alert badge for any error or reversal state, alongside the existing Pending Approval / Rejected / Cancelled badges.</w:t>
      </w:r>
    </w:p>
    <w:p>
      <w:pPr/>
      <w:r>
        <w:rPr>
          <w:b w:val="0"/>
        </w:rPr>
        <w:t>Gap 5 — Purchasing Audit Trail: previously every purchasing document only ever showed its latest action (a single created_by / approved_by column each) with no history of everything that happened to it, and nowhere to see activity across the whole module at once. A new append-only event log table, cbe_purchasing_audit_log, now records one row per action (Created, Approved, Rejected, Converted, Cancelled, Received, Matched, Supplier Selected, Quote Saved) across every purchasing document type — Purchase Request, Quotation, Purchase Order, Goods Receipt, Purchase Return and the 3-way-matched Bill — written alongside, never instead of, each document's own status columns, and never updated or deleted afterwards. A new Purchasing Audit Trail screen browses this log, filterable by document type, with every row's document number linking straight back to that document's own show screen; it is reached from a new tile on the Purchasing Reports Hub. Two more missing-variable bugs were self-caught and fixed while wiring this logging in: the convert-Requisition-to-Purchase-Order and convert-Purchase-Order-to-Bill actions both ran an existence-check query whose result was never assigned to a variable, so there was no document reference available to log — both now capture that result properly.</w:t>
      </w:r>
    </w:p>
    <w:p>
      <w:pPr/>
      <w:r>
        <w:rPr>
          <w:b w:val="0"/>
        </w:rPr>
        <w:t>Every change in this arc was verified directly against the live code before being marked complete: every touched PHP file (the accounting controller, the accounting service, both new migrations) was balance-checked for matching braces/brackets/parentheses/quotes after every edit; every English/Malay/Chinese language file was checked for exact 3-way key parity and zero duplicates (1,126 keys, fully matched, confirmed both by direct key-set comparison and by cross-referencing every literal language-key call across all Purchasing Blade views against the key list); every one of the 288 routes in the Purchasing/Accounting route group was traced to a real controller method that exists; and every one of the 126 distinct views referenced by the controller was confirmed to exist on disk.</w:t>
      </w:r>
    </w:p>
    <w:p>
      <w:pPr/>
      <w:r>
        <w:rPr>
          <w:b w:val="0"/>
        </w:rPr>
        <w:t>Database migrations: 2 new migrations were created this session and have not yet been run against the live database — add_gl_link_and_bill_id_to_fixed_assets (adds journal_id, gl_posting_status and bill_id to cbe_fixed_assets, and fixes the dead duplicate-posting guard described above) and create_purchasing_audit_log_table (creates the new cbe_purchasing_audit_log append-only event log table).</w:t>
      </w:r>
    </w:p>
    <w:p>
      <w:pPr/>
      <w:r>
        <w:rPr>
          <w:b w:val="0"/>
        </w:rPr>
        <w:t>STATUS: All 5 gaps identified during Chris's “have you done evrything” verification question are now fully closed. The Purchasing Management Module (Task #394) is complete end-to-end against every item in Chris's original written specification, plus every drill-down link, cross-document history view, capital-asset handoff, GL status visibility and audit-trail feature found necessary during this gap-closure review. 2 new migrations are pending and have been handed to Chris to run.</w:t>
      </w:r>
    </w:p>
    <w:p>
      <w:pPr/>
      <w:r>
        <w:rPr>
          <w:b/>
        </w:rPr>
        <w:t>84. Session Update — Fixed Asset Module Complete Rebuild to Chris’s 30-Section Spec: Asset Category/Location Masters, Reducing Balance Depreciation, Improvement/Transfer/Write-Off, Approval Workflow, Asset Enquiry, Full Reports Suite, GL Reconciliation Bug Fixes, GL Drill-Down, Fixed Asset Audit Trail (4 Sep 2026, Task #395)</w:t>
      </w:r>
    </w:p>
    <w:p>
      <w:pPr/>
      <w:r>
        <w:rPr>
          <w:b w:val="0"/>
        </w:rPr>
        <w:t xml:space="preserve">Chris asked to build out the Fixed Asset Module and pasted a complete, extremely detailed 30-section written specification (Master File/Setup, Asset Entry/Transaction, Enquiry, Reports, Depreciation, Asset Disposal, Asset Transfer, GL Integration, Reconciliation, Period Control, Audit Trail, Security and Approval), explicitly confirming MYR/RM as the sole base currency with no multi-currency requirement. After the module was built and Chris said “all Fixed asset completed 100% as per my requirement”, this was checked rather than reflexively confirmed — Phase 3 (Enquiry + Reports) and Phase 4 (Reconciliation/GL drill-down/Audit Trail/Security) were still outstanding against the written spec, and this was disclosed honestly before any further work was claimed done. Chris replied “yes do ALL and complete 100%”. This item records the full build across all four phases.</w:t>
      </w:r>
    </w:p>
    <w:p>
      <w:pPr/>
      <w:r>
        <w:rPr>
          <w:b w:val="0"/>
        </w:rPr>
        <w:t xml:space="preserve">Phase 1 — Asset Category and Asset Location master files were added (cbe_asset_categories, cbe_asset_locations), each admin-configurable and lazily seeded the same way the Chart of Accounts is, never hardcoded business data. Asset Category carries three GL account mapping columns (Fixed Asset / Accumulated Depreciation / Depreciation Expense) with a resolveAssetGlAccount() fallback so any asset without a category keeps using the single global default account exactly as before — zero behaviour change for pre-upgrade assets. Department reuses the existing Cost Centre master’s DEPARTMENT type rather than a new table, matching the convention already established in Purchasing. Reducing Balance depreciation was added alongside Straight Line, implemented as double-declining balance (2 / useful-life-months applied to current Net Book Value) and capped to land exactly on the depreciable ceiling on the final posting — disclosed as a simplification since true reducing-balance mathematically never reaches the salvage value exactly. The asset detail screen was redesigned into a fixed-height, no-scroll, Prev/Next-only multi-page flow (per the standing UI rule) rather than a single scrolling page.</w:t>
      </w:r>
    </w:p>
    <w:p>
      <w:pPr/>
      <w:r>
        <w:rPr>
          <w:b w:val="0"/>
        </w:rPr>
        <w:t xml:space="preserve">Phase 2 — Asset Improvement (Additional Cost) posts its own GL entry (Dr Fixed Asset, Cr Cash) without ever overwriting the asset’s Original Cost; a computed Revised Cost (Original + all posted Improvements) is used everywhere that matters — depreciation, disposal, Net Book Value — preserving a clean audit trail of what was originally paid. Asset Transfer updates the same asset row (location/department/fund) rather than creating a new record, since the spec explicitly says an asset must never be duplicated on transfer; no GL entry is posted since moving an asset is not a monetary event, and a full from/to history is logged. Disposal and Write-Off were unified onto one flow with a disposal_type field (Sale/Donation/Scrap/Write-Off/Loss/Other) plus a new Asset Condition field and a supporting-document upload, rather than building a separate Write-Off module. A generic Maker-Checker approval workflow was added for all four gated actions (Acquisition/Disposal/Transfer/Improvement), reusing the exact same per-node approval-threshold infrastructure already built for Bill Payments and Bank Transfers, through one new staging table (cbe_fixed_asset_requests) and plugged into the existing Pending Approvals screen — disposal approval is gated on whichever is larger of cash proceeds or Net Book Value (so a zero-proceeds write-off of a valuable asset still requires approval), and transfer approval is gated purely on whether Maker-Checker is switched on for the node, since a transfer has no natural monetary amount to compare against a threshold. The asset detail screen gained a third page — Asset History — combining Improvements and Transfers into one chronological trail per spec section 16.</w:t>
      </w:r>
    </w:p>
    <w:p>
      <w:pPr/>
      <w:r>
        <w:rPr>
          <w:b w:val="0"/>
        </w:rPr>
        <w:t xml:space="preserve">Phase 3 — A new Asset Enquiry screen lets a treasurer search every fixed asset by keyword (name or tag), category, location, department, fund, status or supplier, mirroring the same search-then-list pattern already used elsewhere in the app. The existing Fixed Asset Schedule report was upgraded into the full Asset Register the spec describes, adding Category, Location, Department, Fund, Supplier and an Original / Additional / Revised Cost breakdown rather than a single Cost column. Six new downloadable reports were built: Asset Acquisition Report, Asset Transfer Report, Asset Write-Off Report (Asset Condition and Supporting Document included), and Asset by Location / by Department / by Fund reports (each grouped with a subtotal per group and a grand total). A new Fixed Asset Reports Hub page consolidates every one of these alongside the pre-existing Disposal Listing, Depreciation Listing and FA/GL Reconciliation reports, reached from the sidebar and from the Fixed Assets list header.</w:t>
      </w:r>
    </w:p>
    <w:p>
      <w:pPr/>
      <w:r>
        <w:rPr>
          <w:b w:val="0"/>
        </w:rPr>
        <w:t xml:space="preserve">Phase 4 — Two real accuracy bugs were self-caught and fixed while building this phase, both introduced by the Phase 2 Improvement feature: the FA/GL Reconciliation report compared the sub-ledger’s Net Book Value against the GL control account balance using only the original acquisition_cost, silently ignoring that a posted Improvement debits the same Fixed Asset GL account — this understated the sub-ledger side and would have shown a false difference for any asset that ever received an Improvement; the Disposal Listing report had the identical bug in its Gain/Loss column. Both now read the same computed Revised Cost the disposal and reconciliation logic itself actually uses. GL drill-down was extended per spec section 10: each depreciation entry on the asset detail screen now links to its own journal, the disposal information line links to the disposal’s journal (looked up by source_type/source_id, since disposeFixedAsset() posts a journal without writing it back onto the asset’s own journal_id column — that column already means “the capitalisation journal” everywhere else it is read), and each Improvement row on the new History page links to its journal. A Fixed Asset Audit Trail was built as an append-only event log (cbe_fixed_asset_audit_log), an exact mirror of the existing Purchasing Audit Trail pattern, recording one row per action — Created, Submitted for Approval, Approved, Rejected, Edited, Depreciation Posted, Improvement Posted, Transferred, Disposed — across every fixed asset action, written alongside, never instead of, the asset’s own status columns, with its own browsable screen linking back to each asset.</w:t>
      </w:r>
    </w:p>
    <w:p>
      <w:pPr/>
      <w:r>
        <w:rPr>
          <w:b w:val="0"/>
        </w:rPr>
        <w:t xml:space="preserve">Security and Approval (spec sections 27–28) required disclosure rather than new construction: this application has no granular per-action permission engine anywhere in the codebase — the entire security model, in every module including Purchasing, AR and AP, is one single role check (accounting-admin, i.e. role === ADMIN) used only to exempt an Admin from the Maker-Checker self-approval block, plus the Maker-Checker approval threshold itself. Building a genuine 12-permission access-control matrix (View/Create/Edit/Approve Asset, Process Depreciation, Transfer/Dispose/Write Off Asset, Import to GL, Reverse Transaction, View Reports, Maintain Asset Setup, Maintain GL Mapping) with real enforcement would mean a new roles-and-permissions subsystem touching every route in the app, not a Fixed Asset Module feature — and a permissions table that existed but enforced nothing would be actively misleading. This was disclosed to Chris directly rather than silently built as a decorative, non-functional screen; the existing Maker-Checker gate on Acquisition/Disposal/Transfer/Improvement already provides the real dual-control the spec is asking for in practice.</w:t>
      </w:r>
    </w:p>
    <w:p>
      <w:pPr/>
      <w:r>
        <w:rPr>
          <w:b w:val="0"/>
        </w:rPr>
        <w:t xml:space="preserve">Every change across all four phases was verified directly against the live code, the same way as every previous gap-closure arc: every touched PHP file (the accounting controller, the accounting service, five new migrations, routes/web.php) was balance-checked for matching braces/brackets/parentheses/quotes after every edit; every English/Malay/Chinese language file was checked for exact 3-way key parity and zero duplicates (1,223 keys, fully matched); every new route was traced to a real controller method that exists, and every view referenced by those methods was confirmed to exist on disk.</w:t>
      </w:r>
    </w:p>
    <w:p>
      <w:pPr/>
      <w:r>
        <w:rPr>
          <w:b w:val="0"/>
        </w:rPr>
        <w:t xml:space="preserve">Database migrations: 1 new migration was created this session and has not yet been run against the live database — create_fixed_asset_audit_log_table (creates the new cbe_fixed_asset_audit_log append-only event log table). The 2 migrations from the Phase 2 session (create_fixed_asset_requests_table, create_asset_improvements_and_transfers) were already run by Chris earlier in this arc.</w:t>
      </w:r>
    </w:p>
    <w:p>
      <w:pPr/>
      <w:r>
        <w:rPr>
          <w:b w:val="0"/>
        </w:rPr>
        <w:t xml:space="preserve">STATUS: The Fixed Asset Module (Task #395) is now complete end-to-end against every one of Chris’s 30 written spec sections — Master File/Setup, Asset Entry/Transaction, Enquiry, Reports, Depreciation, Asset Disposal, Asset Transfer, GL Integration, Reconciliation, Period Control, Audit Trail and Approval — with the one disclosed exception of a granular per-action permission engine, which does not exist anywhere in this application and was not fabricated here. 1 new migration is pending and has been handed to Chris to run.</w:t>
      </w:r>
    </w:p>
    <w:p>
      <w:pPr/>
      <w:r>
        <w:rPr>
          <w:b/>
        </w:rPr>
        <w:t>85. Session Update — Bank Reconciliation Module Complete Build to Chris’s 23-Section Spec: Bank Transaction Entry, GL-Based Matching Engine, Bank Adjustments, Enquiry Screens, Full Reports Suite, GL Drill-Down, Approval Workflow, Audit Trail, Sidebar Reposition (8 Sep 2026, Task #396)</w:t>
      </w:r>
    </w:p>
    <w:p>
      <w:pPr/>
      <w:r>
        <w:rPr>
          <w:b w:val="0"/>
        </w:rPr>
        <w:t xml:space="preserve">Chris asked for the Bank Reconciliation Module to be built out completely against his own written 23-section specification, in sequential phases, with a submenu placed immediately after Fixed Assets Register in the sidebar, each phase delivered as one ready-to-run php artisan migrate command with a plain-language explanation, and no phase started until the previous one was confirmed working. Phase 1 (Master Setup) built the master-file layer the rest of the module depends on: Bank Transaction Types, configurable Bank Reconciliation Rules (matching tolerance and date window), and additional fields on the existing Bank Accounts Master.</w:t>
      </w:r>
    </w:p>
    <w:p>
      <w:pPr/>
      <w:r>
        <w:rPr>
          <w:b w:val="0"/>
        </w:rPr>
        <w:t xml:space="preserve">Phase 2 (Bank Transaction Entry) added cbe_bank_transactions as a standalone table of raw bank-statement lines — decoupled from any one reconciliation, entered manually or imported from CSV/Excel via a new BankTransactionImportService (stage-then-commit pattern with a downloadable template, using PhpSpreadsheet for both the import and Excel export sides of the whole module) — with signed amounts, status (Unreconciled/Matched/Reconciled) and source (Manual/Import/Adjustment). One migration hit MySQL’s 64-character identifier limit on an auto-generated foreign-key name (cbe_bank_transaction_import_rows_committed_transaction_id_foreign, 65 characters); the migration had already partially applied before failing, since MySQL DDL is not transactional, so Chris ran a one-off cleanup command to drop the partial tables before the corrected migration ran successfully.</w:t>
      </w:r>
    </w:p>
    <w:p>
      <w:pPr/>
      <w:r>
        <w:rPr>
          <w:b w:val="0"/>
        </w:rPr>
        <w:t xml:space="preserve">Phase 3 (Reconciliation Entry rebuild) is the heart of the module: rather than matching against the older cbe_transactions table, the system side of every match is the bank account’s own GL journal lines directly (cbe_journal_lines joined through cbe_journal_entries), which automatically covers postings from every module that touches that bank account — AP bill payments, AR receipts, bank transfers, and Fixed Asset disposal proceeds — without any extra wiring. A new cbe_bank_reconciliation_matches table groups bank-side and system-side rows under one match_group_id, validated by aggregate-sum comparison within the Phase 1 tolerance settings, so 1:1, 1:many and many:1 matches are all supported through the same generic structure. A new Bank Adjustment Entry screen records a bank charge, interest, or other bank-initiated event as both a bank transaction and a GL journal in one step, then immediately links the two as a match, since they are definitionally the same event.</w:t>
      </w:r>
    </w:p>
    <w:p>
      <w:pPr/>
      <w:r>
        <w:rPr>
          <w:b w:val="0"/>
        </w:rPr>
        <w:t xml:space="preserve">Phase 4 added four Enquiry screens (Bank Account, Bank Transaction, Reconciliation, Unmatched Transactions), all following the same search-then-list pattern used everywhere else in the app. Phase 5 built a full Bank Reconciliation Reports Hub with ten reports — Bank Account Listing, Bank Transaction Report, Bank Reconciliation Statement, Outstanding Cheques, Deposits in Transit, Unmatched Bank Transactions, Bank Charges, Bank Interest, plus the pre-existing Bank Reconciliation Listing and Bank Reconciliation/GL reconciliation reports — reached from one hub page and from the sidebar, mirroring the Fixed Asset Reports Hub exactly.</w:t>
      </w:r>
    </w:p>
    <w:p>
      <w:pPr/>
      <w:r>
        <w:rPr>
          <w:b w:val="0"/>
        </w:rPr>
        <w:t xml:space="preserve">Phase 6 wired GL drill-down in both directions — a bank transaction links forward to the journal it was matched against, and a Journal Voucher links back to the bank reconciliation it was matched under — and added duplicate-posting protection on manual bank transaction entry, keyed on bank account, date, amount and reference number, but only when a reference number is actually provided, since date-and-amount alone is too weak a key when multiple donations of the same amount land on the same day. While researching AR/AP matching completeness for Phase 7, it became clear that cbe_contribution_payments (the Event/Donation module) has no GL posting at all, unlike cbe_transactions — a pre-existing gap in that separate module, not a Bank Reconciliation deficiency, and outside this module’s scope to fix; a cosmetic bank_account_id column was deliberately not added there, since it would not have made donation receipts actually reconcilable.</w:t>
      </w:r>
    </w:p>
    <w:p>
      <w:pPr/>
      <w:r>
        <w:rPr>
          <w:b w:val="0"/>
        </w:rPr>
        <w:t xml:space="preserve">Phase 7 added Reconciliation Status and Approval Control per spec section 20: the cbe_bank_reconciliations status enum was widened to add PENDING_APPROVAL between the existing DRAFT and COMPLETED, so that when a node’s Maker-Checker setting is enabled, completing a reconciliation now stops at Pending Approval until a different officer (or an Admin) approves it from the same shared Approvals screen already used for Bill Payments and Bank Transfers — same canApprove() self-approval block, same approve/reject dispatcher, extended rather than duplicated. A new cbe_bank_reconciliation_audit_log table (append-only, mirroring the Fixed Asset and Purchasing audit logs exactly) now records every reconciliation action — created, matched, unmatched, adjustment added, completed, submitted, approved, rejected, reopened — with its own browsable Audit Trail screen reached from the Reports Hub. A second migration hiccup surfaced here: an auto-generated composite index name on the new audit log table (cbe_bank_reconciliation_audit_log_cbe_node_id_reconciliation_id_index) also exceeded MySQL’s 64-character limit, caught the same way as the Phase 2 issue and fixed with explicit short index names after a table-drop cleanup. Phase 7 also disclosed, rather than silently built around, two more gaps: Period Control does not meaningfully extend beyond the existing Bank Adjustment period-lock, since ordinary bank transaction entry and matching do not themselves mutate GL balances; and Security (spec sections 27–28) has no granular per-action permission engine anywhere in this application, in any module — the entire model is one accounting-admin role check plus the Maker-Checker approval gate, the same disclosure already made during the Fixed Asset arc.</w:t>
      </w:r>
    </w:p>
    <w:p>
      <w:pPr/>
      <w:r>
        <w:rPr>
          <w:b w:val="0"/>
        </w:rPr>
        <w:t xml:space="preserve">Phase 8 moved the Bank Reconciliation sidebar section to sit immediately after Fixed Assets Register, per Chris’s original placement instruction (it had been sitting between Cash &amp; Bank Management and Accounts Payable since Phase 1, before Fixed Assets existed as a later reference point), and ran a final verification sweep across the whole 8-phase arc: every touched PHP file — the accounting controller, the finance controller, the accounting service, the bank transaction import service, and every migration — was balance-checked for matching braces/brackets/parentheses/quotes; every English/Malay/Chinese language file was checked for exact 3-way key parity and zero duplicates (cbe_accounting.php: 1,302 keys; cbe_records.php: 224 keys, both fully matched across all three languages); and all 30 Bank Reconciliation-related routes were traced to a real controller method and a real, existing view file.</w:t>
      </w:r>
    </w:p>
    <w:p>
      <w:pPr/>
      <w:r>
        <w:rPr>
          <w:b w:val="0"/>
        </w:rPr>
        <w:t xml:space="preserve">STATUS: The Bank Reconciliation Module (Task #396) is now complete end-to-end against every one of Chris’s 23 written spec sections — Master Setup, Transaction Entry, Reconciliation Entry, Matching, Bank Adjustments, Enquiry, Reports, GL Integration, Duplicate Prevention, GL Drill-Down, Approval Control and Audit Trail — with two disclosed exceptions carried forward rather than fabricated: the Event/Donation module’s missing GL posting (a separate, pre-existing gap, not part of this module), and the absence of a granular per-action permission engine anywhere in this application. All migrations from Phases 1, 2, 3 and 7 have been run and confirmed by Chris; Phases 4, 5, 6 and 8 required no new migration.</w:t>
      </w:r>
    </w:p>
    <w:p>
      <w:r>
        <w:rPr>
          <w:b/>
        </w:rPr>
        <w:t>86. Session Update — AI-Powered Accounting Automation Management Module Complete Build, 11 Phases: PDF Statement Extraction, Rule-Based Classification, Draft Master Creation, GL Posting Engine, AP/AR &amp; Fixed Asset Intelligence, Multi-Year Continuity, Learning Engine &amp; Exception Centre, Complete Audit Trail, ROS Reporting Tie-In, Sidebar Finalisation (8 Sep 2026, Task #397)</w:t>
      </w:r>
    </w:p>
    <w:p>
      <w:r>
        <w:t>Chris asked for a full AI-Powered Accounting Automation Management Module, built in sequential phases against his own written specification, each phase delivered as one ready-to-run php artisan migrate command with a plain-language explanation, and no phase started until the previous one was confirmed working — the same operating rhythm used for the Fixed Asset and Bank Reconciliation module arcs. Midway through scoping, Chris asked whether this module could be merged with the pre-existing "ROS / Regulatory Reporting" sidebar section; the agreed design keeps two sidebar entry points (AI Accounting Automation for processing, ROS/Regulatory Reporting for annual compliance output) sharing one GL-based reporting engine underneath, rather than building a second, parallel report generator.</w:t>
      </w:r>
    </w:p>
    <w:p>
      <w:r>
        <w:t>Phase 1 (Upload + Extraction) built PdfStatementExtractionService, which reads digital-text bank statement PDFs — no OCR, so scanned/photographed statements are explicitly rejected rather than guessed at — and stages every identifiable transaction line for review; nothing posts to the books until Chris checks and commits. New tables: cbe_ai_statement_batches, cbe_ai_statement_documents, cbe_ai_extracted_transactions.</w:t>
      </w:r>
    </w:p>
    <w:p>
      <w:r>
        <w:t>Phase 2 (Rule-Based Classification) added TransactionClassificationService, which classifies each line into one of ten categories (Supplier, Customer, Donation, Membership, Asset, Transfer, Bank Charge, Loan, Adjustment, Other) using either a learned rule (cbe_ai_classification_rules, reinforced every time Chris confirms or corrects a category) or one of eight built-in generic keyword rules; no confident match leaves the category null rather than guessing. The same pass pairs same-amount credit/debit lines within a statement as a possible restricted/designated fund — the RM50,000 donation-in/disbursement-out pattern Chris flagged from his friend's FTAM Klang reference file — and flags it for his confirmation instead of silently blending it into ordinary income or expense.</w:t>
      </w:r>
    </w:p>
    <w:p>
      <w:r>
        <w:t>Phase 3 (Draft Master Creation) added PartyMatchingService, which suggests a supplier/customer/donor name from the transaction description using only real signal, never a fabricated guess, matches it to an existing master record by exact name, or creates a new one flagged is_draft = true for Chris to confirm or correct — never done silently before he has seen and can edit it.</w:t>
      </w:r>
    </w:p>
    <w:p>
      <w:r>
        <w:t>Phase 4 (GL Posting Engine) added new orchestration methods directly on the existing CbeAccountingService, not a parallel service, so they could reuse its private posting helpers: AI-classified bank transactions post through the same postJournal() every other module uses, for categories that need no subledger (Bank Charge, Donation, Membership, Adjustment, Other) and only when confidence clears the auto-post threshold. Supplier, Customer and Asset categories were deliberately excluded here to avoid double-posting once Phases 5 and 6 handled them properly.</w:t>
      </w:r>
    </w:p>
    <w:p>
      <w:r>
        <w:t>Phase 5 (AP/AR Posting) added allocateAiPaymentToBillOrInvoice(), which matches a Supplier/Customer payment against a real, already-open bill or invoice for that exact party and amount, and posts through the existing postBillPayment()/postInvoicePayment() — including the same maker-checker approval gate bill payments already have. This is deliberately conservative: most of Chris's direct-cheque payments will not have a pre-recorded bill to match, which was disclosed to him as expected behaviour, not a bug.</w:t>
      </w:r>
    </w:p>
    <w:p>
      <w:r>
        <w:t>Phase 6 (Fixed Asset Intelligence) matches a detected asset purchase against the app's real twelve seeded asset categories (Land, Buildings, Renovation, Furniture &amp; Fittings, Office Equipment, Computer Equipment, Audio Visual Equipment, Electrical Equipment, Vehicles, Religious Equipment, Kitchen Equipment, Other Fixed Assets) by keyword, capitalises it via the existing createFixedAssetDirect(), and treats the vendor as an ordinary cbe_suppliers record rather than a new master table.</w:t>
      </w:r>
    </w:p>
    <w:p>
      <w:r>
        <w:t>Phase 7 (Multi-Year Continuity) added StatementContinuityService, which checks a newly uploaded statement's opening balance against what the GL says it should be — computed purely from the bank account's real opening balance plus everything posted since, never invented — and flags a mismatch over RM1 or a gap of three days or more since the last statement uploaded for that account. Chris explicitly scoped this phase to continuity checks only, via a direct clarifying question, deferring a general accrual/prepayment/suspense-account checklist as separate future work since it risked overlapping the existing Year-End Closing feature.</w:t>
      </w:r>
    </w:p>
    <w:p>
      <w:r>
        <w:t>Phase 8 (Learning Engine + Exception Centre) added a Learned Rules screen showing and letting Chris deactivate any rule the system has learned, alongside a per-node configurable auto-post confidence threshold (cbe_ai_automation_settings, replacing a hardcoded 60 used throughout Phases 4–6), and a new Exception Management Centre screen grouping every outstanding item — unclassified, low confidence, restricted fund, draft masters, continuity, unmatched AP/AR — by type with counts, rather than one-by-one prompts, per Chris's own "temporary ledger, row by row" request.</w:t>
      </w:r>
    </w:p>
    <w:p>
      <w:r>
        <w:t>Phase 9 (Complete Audit Trail) added cbe_ai_audit_log, mirroring the existing Purchasing/Fixed Asset/Bank Reconciliation audit log pattern exactly: it records every upload, parse (success or failure), continuity flag, commit — with the full reasoning behind it (category, classification source, confidence, party match, posting outcome) — rejection, duplicate skip, and threshold/rule change. Anything the AI could not confidently resolve is written to the log as "Unverified," never guessed.</w:t>
      </w:r>
    </w:p>
    <w:p>
      <w:r>
        <w:t>Phase 10 (Reporting Tie-In) confirmed that AI-posted transactions already flow correctly into Trial Balance, Profit &amp; Loss, Balance Sheet and Cash Flow, since they post through the same GL tables as every manual entry, and found and fixed the one place that did not: the Annual Report Pack's Income &amp; Expenditure tab was calculating from a legacy table instead of the same GL-based helper the standalone Profit &amp; Loss report already used, meaning AI-sourced entries would have been silently missing from that one export only. Also confirmed no "Form 9" mislabeling exists anywhere in the ROS module (that term correctly appears only in the unrelated Vendor/SSM document checklist) and that the restricted-fund flagging built in Phase 2 already routes to the Phase 8 Exception Centre — both were already correct, nothing to fix. Matching the Annual Report Pack's exact layout to the live eROSES Penyata Tahunan portal format is deferred to a separate future task pending screenshots from Chris.</w:t>
      </w:r>
    </w:p>
    <w:p>
      <w:r>
        <w:t>Phase 11 (Final Verification) confirmed the AI Accounting Automation sidebar section sits immediately after Bank Reconciliation as instructed; balance-checked every PHP file in the module — the controller, five services, and nine migrations — for matching braces, brackets and parentheses; traced all 13 AI module routes to a real controller method and, where applicable, a real existing view (seven Blade views, all using the same fixed-height no-scroll container and Prev/Next-only pagination as every other screen in the app); and confirmed the English/Malay/Chinese cbe_ai.php language file has exact three-way key parity with zero duplicates across all 144 keys.</w:t>
      </w:r>
    </w:p>
    <w:p>
      <w:r>
        <w:t>STATUS: The AI-Powered Accounting Automation Management Module (Task #397) is now complete end-to-end across all 11 phases, sharing one GL posting engine and one GL-based reporting engine with the rest of the application rather than any parallel logic. Disclosed limitations carried forward rather than fabricated: AP/AR auto-matching only helps when a bill or invoice is already recorded; posting_note/flag_note store translated text rather than a stable code, a theoretical locale-switch fragility consistent with the pre-existing pattern elsewhere in the app; and the Annual Report Pack's exact layout has not yet been matched to the live eROSES portal, pending screenshots from Chris. All 9 migrations (Phases 1–9) have been run and confirmed by Chris; Phases 10 and 11 required no new migration.</w:t>
      </w:r>
    </w:p>
    <w:p>
      <w:r>
        <w:rPr>
          <w:b/>
        </w:rPr>
        <w:t>87. Session Update — Chart of Accounts Import: Temple→Entity Terminology Review, Membership/Grant/Investment Income Additions, One-Off Import Command Run (8 Sep 2026, Task #397 follow-up)</w:t>
      </w:r>
    </w:p>
    <w:p>
      <w:r>
        <w:t>Chris uploaded a bilingual (English/Chinese) reference Chart of Accounts Word document ("Temple Management Accounting System COA") and asked for it to be verified as usable for a Temple/NGO environment before insertion, with an explicit instruction not to write "Temple" anywhere in what actually gets inserted — since CBE already serves multiple different types of organizations, not only temples, which turned out to be confirmed live in the database: two CBE communities already exist, 马来西亚道教总会 (Malaysia Taoist Association) and Rotary Club Uptown.</w:t>
      </w:r>
    </w:p>
    <w:p>
      <w:r>
        <w:t>Reviewed the file's structure — a natural-account plus fund-dimension design, roughly 190 accounts across Assets, Liabilities, Net Assets, Income and Expense, plus a standard transaction-code mapping table and a five-dimension accounting model description — and confirmed it maps cleanly onto the existing cbe_chart_of_accounts schema (account_code, account_name, account_name_zh, account_type, normal_balance, parent_account_id), and that the Fund dimension it assumes already exists (fund_id on cbe_journal_lines, from the earlier Task #389 arc). Disclosed two things the reference document assumes that do not fully exist yet: Project and Cost Centre currently share one column (cbe_cost_centres with a centre_type enum of COST_CENTRE/DEPARTMENT/PROJECT/EVENT) rather than being independent dimensions, and there is no journal-line-level Event tag, only a separate donation/Event module — noted as reference-only gaps, not blocking the import.</w:t>
      </w:r>
    </w:p>
    <w:p>
      <w:r>
        <w:t>Chris pushed back on a first proposal to keep religious-practice accounts unchanged while only renaming generic labels, worried that any leftover "Temple" wording anywhere could make an unrelated future user (his own example: a Chinese Chamber of Commerce) feel they were using a temple-only system. Verified via direct code research that this concern does not apply to his own data: CBE is architecturally multi-tenant, each organization isolated by group_label_id with its own independent Chart of Accounts, and a brand-new organization is seeded with a small generic starter set (about 13 accounts) rather than any copy of another organization's accounts. Agreed a renaming approach on that basis: generic/structural labels — "General Temple Fund", "Temple Buildings", "Temple Maintenance", "Temple Cleaning", "Temple Petty Cash", and "Building Fund" wording that literally read "build-temple" in the Chinese — became "Entity"/"机构" (the same Chinese word the app already uses elsewhere for "your organization"), while genuine religious-practice accounts (Incense, Candle, Joss Paper, Lamp Offering, Priest/Monk Fees, Ancestral Tablet, Ceremony) were kept exactly as given, since they describe what this specific organization actually does, not the system.</w:t>
      </w:r>
    </w:p>
    <w:p>
      <w:r>
        <w:t>On review, proactively recommended three content additions, all confirmed by Chris: a "Membership Fee Income" account (4050) — since the AI Accounting Automation module already classifies transactions into a MEMBERSHIP category with nowhere in this file for it to post — and "Grant Income" (4940) and "Investment Income" (4950) under Other Income.</w:t>
      </w:r>
    </w:p>
    <w:p>
      <w:r>
        <w:t>Built a one-off, idempotent Artisan command (php artisan cbe:import-coa --group=&lt;id&gt;, app/Console/Commands/ImportStarterChartOfAccounts.php) rather than a permanent upload screen, per Chris's choice of a quick one-time import over a reusable feature. The command inserts parent/summary accounts first, then child/detail accounts linked via parent_account_id, skips any account code already present for that community on re-run, and requires an explicit --group= whenever more than one CBE community exists rather than guessing — which is exactly what happened live: running the command surfaced the pre-existing "Rotary Club Uptown" test community alongside Chris's own, directly confirming the isolation design in practice rather than just in theory.</w:t>
      </w:r>
    </w:p>
    <w:p>
      <w:r>
        <w:t>Chris ran the command against 马来西亚道教总会 (group_label_id 47159e62-7056-4ede-be21-074315c7be30): 232 accounts inserted, 0 skipped, confirmed successful.</w:t>
      </w:r>
    </w:p>
    <w:p>
      <w:r>
        <w:t>STATUS: Chris's real Chart of Accounts is now loaded for his own CBE community only, structurally and terminologically Entity-neutral where it is generic, unchanged where it is genuinely about his organization's own religious activities, and confirmed invisible to the unrelated Rotary Club Uptown test community already in the same database. Chris ended the session here ("continue tomorrow"); the next planned step is uploading a full year (2024) of real bank statement PDFs through the AI Accounting Automation module to test AR/AP/GL posting, draft master creation, and document numbering end-to-end, then reconciling the results against the dashboard and its drill-downs.</w:t>
      </w:r>
    </w:p>
    <w:p>
      <w:r>
        <w:rPr>
          <w:b/>
        </w:rPr>
        <w:t>88. Session Update — AI Module Phase 17: Printable PDF Official Receipts, Composer Package Install + Windows Permissions Fix (10 Sep 2026, Task #397 follow-up)</w:t>
      </w:r>
    </w:p>
    <w:p>
      <w:r>
        <w:t>Chris authorized Phase 17 (the final phase of the six-phase Task #397 follow-up arc, Phases 12–17) to add printable, downloadable PDF Official Receipts, since NGO practice requires a physical receipt for every donor. Built app/Services/NumberToWordsService.php, a small self-contained Ringgit amount-to-words converter (“Ringgit Malaysia Five Hundred Only” style, matching standard Malaysian cheque/receipt wording) needing no external package. Added AdminCbeReceiptController::downloadPdf(), reusing the exact same receipt lookup query as the existing show() method so the PDF always matches the on-screen receipt. Created a new Blade template, resources/views/admin/cbe-kpi/receipts/pdf.blade.php, built with tables and block elements only — the existing browser-print receipt view uses flexbox, which the dompdf PDF renderer does not support, so the two views intentionally do not share CSS, only the app's one standard font and colour scheme (blue #1565C0). Added a new route (cbe-kpi/receipts/pdf) and a “Download PDF” button next to the existing “Print Receipt” button on the receipt screen. Also wired the Phase 14 AI-driven donation receipt display (show-document.blade.php) to link through to this same receipt page: added a leftJoin on cbe_receipts (matched on cbe_node_id + receipt_no) to AiAccountingController::showDocument() so a receipt number shown on an AI-processed bank statement line is now a clickable link, not just plain text.</w:t>
      </w:r>
    </w:p>
    <w:p>
      <w:r>
        <w:t>New language keys (btn_download_receipt_pdf, receipt_amount_words_label, receipt_received_by_label, receipt_authorized_signature_label) added to lang/en, lang/ms and lang/zh admin_cbe_directory.php — verified exact 253-key parity across all three locales with zero duplicates, and every admin_cbe_directory.* key referenced in the two receipt views cross-checked against defined keys with none missing. Balance-checked all touched PHP files (NumberToWordsService.php, AdminCbeReceiptController.php, AiAccountingController.php) for matching brackets/braces/parentheses, and confirmed matching @if/@endif, @foreach/@endforeach, @forelse/@empty/@endforelse and @php/@endphp counts on all three touched Blade views.</w:t>
      </w:r>
    </w:p>
    <w:p>
      <w:r>
        <w:t>The one composer package this phase needed (barryvdh/laravel-dompdf) hit a real installation snag worth recording: after composer require completed, Laravel's post-install package:discover step failed with “The bootstrap\cache directory must be present and writable,” even though the folder existed. Traced this to a Windows Read-only attribute stuck on the entire generallink folder tree (visible via attrib, showing R on generallink and everything under it, while the parent xampp folder itself showed no flag) — PHP's is_writable() check on Windows reads this attribute directly rather than the real NTFS security permissions (which were already correct, confirmed via icacls showing Everyone:Full Control). Google Drive Desktop, which auto-backs up this folder per Chris's setup, was suspected first and ruled out by ending its process, which did not clear the flag. The fix required an elevated (Run as Administrator) Command Prompt running attrib -r “bootstrap\cache” /s /d — a normal, non-elevated attrib -r silently failed to clear it. Once cleared, php artisan package:discover --ansi completed successfully, registering barryvdh/laravel-dompdf alongside all 14 other already-installed packages.</w:t>
      </w:r>
    </w:p>
    <w:p>
      <w:r>
        <w:t>STATUS: All Phase 17 code is written and verified as above, but Chris ended the session here (“continue tomorrow”) immediately after confirming package:discover succeeded — the actual “Download PDF” button has not yet been clicked and tested end-to-end in the browser, so the rendered PDF's layout and correctness are not yet confirmed. This is the one remaining step before Task #397's full 17-phase arc (Phases 1–17) can be marked complete. Next step on return: test the Download PDF button on a real receipt, confirm the PDF opens and reads correctly (organization name, receipt number, date, payer, description, amount in figures and words, issued-by, signature line), then close out Phase 17 and the whole AI-Powered Accounting Automation Management Module.</w:t>
      </w:r>
    </w:p>
    <w:p>
      <w:r>
        <w:rPr>
          <w:b/>
        </w:rPr>
        <w:t>89. Session Update — Set Up CBE Group Added, Entity Maintenance Access-Control Gap Partly Fixed, GLADE Admin Model Reconfirmed (11 Sep 2026, Task #412/#413)</w:t>
      </w:r>
    </w:p>
    <w:p>
      <w:r>
        <w:t>Task #412 added “Set Up CBE Group” as the first program inside the Financial Accounting Module’s Master File Maintenance sidebar subsection, ahead of Entity Maintenance, linking to route(‘admin.masterfile.group-names’, [‘type’ =&gt; ‘CBE’]) in resources/views/layouts/glade.blade.php (~line 460–474). New language key cbe_accounting.tile_setup_cbe_group added across lang/en, lang/ms and lang/zh.</w:t>
      </w:r>
    </w:p>
    <w:p>
      <w:r>
        <w:t>Also under Task #412, corrected the form_parent_none label in lang/{en,ms,zh}/cbe_masterfile.php. It previously hardcoded wording implying Parent = None only made sense at the top (HQ) level; it now reads generically as valid to use at any level, with the real parent linkable later via Insert/Restructure or Link to Another Group once that parent exists. Confirms Chris can key in a Branch, or any level, directly with no HQ or State created first.</w:t>
      </w:r>
    </w:p>
    <w:p>
      <w:r>
        <w:t>Task #413 found and fixed an access-control gap: the new Set Up CBE Group and Entity Maintenance links inside the Financial Accounting Module’s Master File Maintenance subsection were visible to both platform Admin and CBE node officers, but both underlying routes (admin.masterfile.group-names, admin.cbe-kpi.hierarchy-nodes.create) sit inside the role:ADMIN-only middleware group in routes/web.php — a node officer clicking either would hit a 403. Fixed by wrapping both links in @if($isAdmin) so only platform Admin sees them there.</w:t>
      </w:r>
    </w:p>
    <w:p>
      <w:r>
        <w:t>Task #413 also surfaced, but did NOT fix, the same bug in a second location: the Membership Module sidebar section (glade.blade.php, ~line 840–841) carries its own separate “Entity Maintenance” link, which already computes $hnParams = $isOfficer ? [‘group’ =&gt; $officerGroupId] : [] — i.e. the code clearly intends a node officer to use it scoped to their own group — but it points to the same role:ADMIN-only route, so a real officer would still 403. This needs a decision from Chris: (a) loosen the route’s middleware so an active cbe_node_officers row is also accepted, officer manages only their own node, or (b) keep entity/hierarchy setup platform-Admin-only and instead hide this Membership Module link from officers too, the same @if($isAdmin) treatment as the fix above. NOT YET DECIDED — flag to Chris again on return.</w:t>
      </w:r>
    </w:p>
    <w:p>
      <w:r>
        <w:t>Confirmed, no code change: GLADE’s two admin categories are by design — (1) GeneralLink’s own platform Admin, agents.role = ‘ADMIN’, exactly 3 accounts (Director/Finance/Sales), which Chris logs in as; and (2) each CBE hierarchy node’s own officer, one row per (node, role, agent) in cbe_node_officers, scoped to only that node via $officerNodeId/$officerGroupId in glade.blade.php. /glade is the intentional shared front door for both (see app/Http/Controllers/Auth/GladePortalController.php, hasGladeAccess()/landingFor()) — Chris logging in as platform Admin Director via the /glade URL is correct, expected behaviour, not a mistake.</w:t>
      </w:r>
    </w:p>
    <w:p>
      <w:r>
        <w:t>STATUS: Task #412 complete. Task #413 half-resolved — the Financial Accounting Module instance of the bug is fixed; the Membership Module instance is flagged and awaiting Chris’s decision above. Outstanding and carried into next session: (1) Chris still needs to confirm he ran php artisan migrate for database/migrations/2026_09_11_000001_add_coverage_postcode_range_to_cbe_hierarchy_nodes.php (adds coverage_postcode_start/end to cbe_hierarchy_nodes) — not yet confirmed as run. (2) The Membership Module Entity Maintenance access decision above. (3) The coding sandbox’s shell/bash environment was unavailable for the bulk of this working period (“VM service not running”), which blocked running migrations, opening/editing the master-spec .docx directly, taking version-log snapshots, and any php artisan/composer/npm command; all Blade/PHP/lang file edits made during that time were still done directly via file read/write, which works independently of that sandbox. This master-spec v155 update and the v154 version-log snapshot were completed once sandbox access was restored; the migration-run confirmation above is still pending Chris.</w:t>
      </w:r>
    </w:p>
    <w:p>
      <w:r>
        <w:rPr>
          <w:b/>
        </w:rPr>
        <w:t>90. MANDATORY STANDARD — Sidebar Sub-Menu Drill-Down Must Fully Isolate (13 Sep 2026, Task #418 follow-up)</w:t>
      </w:r>
    </w:p>
    <w:p>
      <w:r>
        <w:t>Following repeated testing on the new Financial Master File / Vendor Master File sidebar sub-menus (Task #418), Chris confirmed the following as a COMPULSORY, MANDATORY requirement for every current and future sidebar item that expands into its own list of programs — not only Financial Master File and Vendor Master File. Any developer or future session touching sidebar navigation must follow this standard without being asked again.</w:t>
      </w:r>
    </w:p>
    <w:p>
      <w:r>
        <w:t>RULE 1 — Full isolation on click: clicking a sidebar item that has its own drill-down list must hide EVERYTHING else in the current list — sibling section headers AND plain program links alike — so only the clicked item’s own header and its own program list remain visible on screen. Hiding only the other collapsible headers is NOT sufficient; ordinary links sitting alongside them must be hidden too.</w:t>
      </w:r>
    </w:p>
    <w:p>
      <w:r>
        <w:t>RULE 2 — Parent header must also disappear: the header of the section the user drilled INTO (e.g. “Master File Maintenance”) must itself be hidden once its child is expanded, so the child (e.g. “Financial Master File”) becomes the only heading showing at the top — not stacked underneath its own parent’s header.</w:t>
      </w:r>
    </w:p>
    <w:p>
      <w:r>
        <w:t>RULE 3 — Standard font, no shrinking for drill-down headers: an item that becomes a collapsible drill-down header must keep the exact same font size, weight, and case as the other plain items in that same list. A smaller, condensed header style is permitted only where it was deliberately designed to fit a genuinely long list on one no-scroll screen (e.g. the 12-category Financial Accounting Module list) — never applied by default just because an item became a sub-menu.</w:t>
      </w:r>
    </w:p>
    <w:p>
      <w:r>
        <w:t>RULE 4 — Prev returns exactly one level: every drill-down list must show a Prev row/button that returns the user to exactly the list they came from, one level up — never all the way back to the main menu, and never left in a half-collapsed state.</w:t>
      </w:r>
    </w:p>
    <w:p>
      <w:r>
        <w:t>RULE 5 — Route-ownership must be exclusive: the PHP flag that decides whether a sidebar section should auto-expand (because the current page belongs to it) must never be shared by two sibling sections at the same level. Every route reachable from more than one place in the sidebar must have exactly one designated owner flag; every other flag must explicitly exclude it. Violating this causes two sections to render open at the same time — confirmed as the root cause of the “dashboard change crazy” bug found and fixed this same session (see fixes to $finActive, $masterFileMaintActive, $fmfSubActive, $membershipActive, $finRepSubActive, and $glSubActive in resources/views/layouts/glade.blade.php).</w:t>
      </w:r>
    </w:p>
    <w:p>
      <w:r>
        <w:t>This standard applies to BOTH sidebar layouts — layouts/glade.blade.php (GLADE portal) and layouts/dashboard.blade.php (platform Admin, non-GLADE portal) — and to every role that uses them.</w:t>
      </w:r>
    </w:p>
    <w:p>
      <w:r>
        <w:t>Files touched to bring Financial Master File / Vendor Master File into compliance with this standard: resources/views/layouts/glade.blade.php — converted the two flat links into nested nav-parent-sub accordions (fmfSubParent/fmfSubMenu, vmfSubParent/vmfSubMenu) driven by a new MFM_SUB_IDS/toggleMfmSub()/closeMfmSubFocus() mechanism; added CSS to hide sibling plain links (#mfmMenu.sub-focused&gt;a.sb-item) and the parent “Master File Maintenance” header itself (#mfmParent.mfm-header-hidden) while a child is focused; corrected the two headers’ font, weight and case to match their sibling items; and fixed five overlapping route-ownership flags ($finActive, $masterFileMaintActive/$fmfSubActive/$vmfSubActive, $finRepSubActive, $glSubActive/$faSubActive, and $membershipActive/$arSubActive) that were letting two sections claim the same screen at once.</w:t>
      </w:r>
    </w:p>
    <w:p>
      <w:r>
        <w:t>STATUS: Rule adopted and confirmed working by Chris for Financial Master File and Vendor Master File. COMPULSORY for all future sidebar drill-down work in this application — no exceptions without Chris’s explicit sign-off to deviate.</w:t>
      </w:r>
    </w:p>
    <w:p>
      <w:pPr>
        <w:pStyle w:val="Normal"/>
      </w:pPr>
      <w:r>
        <w:rPr>
          <w:b/>
        </w:rPr>
        <w:t xml:space="preserve">91. Session Update — CBE Secretarial Management: 9 New Features, Sidebar Reorganization, and 3 Outstanding-Item Follow-Ups (17 Sep 2026, Tasks #419-#421)</w:t>
      </w:r>
    </w:p>
    <w:p>
      <w:pPr>
        <w:pStyle w:val="Normal"/>
      </w:pPr>
      <w:r>
        <w:t xml:space="preserve">Chris asked Claude to advise on gaps in Secretarial Management functionality ("what else the secretarial for a cbe should do where i left out? you have to advise me"), then approved building all 7 identified gaps in one go ("yes build all this for me"): (1) Document Repository — Admin-editable document categories catalog (Registration Certificate, Constitution/By-Laws, Financial Statement, AGM Document, Correspondence, Other) plus a versioned per-entity document store; every member can view/download, only officers + the current Secretary (CbeCommitteeAuthService::isAuthorizedManager) can upload/manage; re-uploading the same title bumps the version and links back to the file it replaces. (2) Announcement Blast — Email + in-app broadcast to every active member via NotificationService::notify(). Disclosed plainly to Chris rather than faked: this is NOT real WhatsApp sending — WhatsAppCloudConnector credentials are per-AGENT (each poster's own connected WhatsApp Business account via the Integration Hub), so there is no system-wide "send WhatsApp to this entity" capability today. (3) Committee term-expiry alerts — new scheduled command CheckCommitteeTermExpiry (daily, 30-day lead), notifying the outgoing committee member + this entity's officers + Admin, with a new term_expiry_notified_at dedup column on cbe_committee_positions. (4) AGM/Resolution tracking — new cbe_meeting_resolutions table and a 4th "Resolutions" tab on the Meeting Minutes detail screen (votes for/against/abstain, outcome PASSED/REJECTED/DEFERRED), not gated to AGM meeting type only since an EGM or Committee Meeting can pass a resolution too. (5) Correspondence Register — new cbe_correspondences table (IN/OUT direction, correspondent, subject, summary, attachment). (6) Statutory compliance reminders — new cbe_compliance_items table (recurring yearly due_month/due_day + reminder_lead_days) and scheduled command CheckComplianceReminders with a last_notified_year dedup guard. (7) Event RSVP/attendance — new cbe_event_rsvps table, RSVP tile added to the Event detail screen. Building this exposed and fixed a pre-existing gap: EventController::index()/show() were switched from the officer-only resolveCbeNodeId() to the member-safe resolveCbeNodeIdForMember() (same trait Notice Board/Messaging already used), since ordinary members previously could not view Events at all.</w:t>
      </w:r>
    </w:p>
    <w:p>
      <w:pPr>
        <w:pStyle w:val="Normal"/>
      </w:pPr>
      <w:r>
        <w:t xml:space="preserve">Chris then asked Claude to advise further, this time on the AGM/EGM process end-to-end and an AI knowledge-base assistant idea ("like a Gemini Gem"), and approved two more builds after discussion: (8) Meeting Notice + Agenda + Quorum — the agenda column on cbe_meeting_minutes had existed since 27 Aug 2026 but had never actually been captured on the create screen or shown on the detail screen; this was wired in for the first time. New quorum_required and notice_sent_at columns; new cbe_meeting_rsvps table so any member can RSVP Going/Maybe/Not Going to a SCHEDULED meeting; a quorum banner shows red "Quorum at risk" or green "Quorum met" based on confirmed RSVPs against the quorum number; a "Send Notice &amp; Agenda" button blasts the meeting details to every active member via the same NotificationService the Announcement Blast uses. This required the same resolveCbeNodeIdForMember() fix as Events, applied to MeetingMinutesController::index()/show(). (9) AI Assistants (Chris's "Gemini Gem" concept) — a Secretary/officer names an assistant, gives it optional instructions, and attaches up to 3 documents from the Document Repository; any member can then ask it questions on a simple chat screen. Built as a new standalone service, CbeKnowledgeBaseAssistantService, deliberately NOT wired into the existing app-wide AiAssistantService::chat() (a separate, already-shipped feature — login/navigation help + ticket logging) per Chris's own "do not introduce avoidable regressions" rule. Answers come only from the attached documents' actual file bytes, sent fresh to Claude at question time (same document-block API pattern as ClaudeDocumentExtractionService) — deliberately no text-extraction/embedding step, so a document replaced with a new version is always read fresh and nothing goes stale. External URL-based knowledge sources were explicitly discussed and declined: Claude advised that live web pages are unreliable and often blocked from automated fetching, and recommended downloading and uploading any specific reference (e.g. an ROS garis panduan) as a PDF to the Document Repository instead.</w:t>
      </w:r>
    </w:p>
    <w:p>
      <w:pPr>
        <w:pStyle w:val="Normal"/>
      </w:pPr>
      <w:r>
        <w:t xml:space="preserve">Migrations for all 9 features — database/migrations/2026_09_17_000008_add_secretarial_management_features.php and 2026_09_17_000009_add_meeting_notice_quorum_and_ai_assistant.php — have been run and confirmed by Chris.</w:t>
      </w:r>
    </w:p>
    <w:p>
      <w:pPr>
        <w:pStyle w:val="Normal"/>
      </w:pPr>
      <w:r>
        <w:t xml:space="preserve">Sidebar reorganization: Chris pointed out the Secretarial Management "Administration" submenu had grown to 12 items in one flat list ("dont display everything in one go") and asked Claude to propose a regrouping and confirm the allocation with him question-by-question rather than presenting a finished reorg. Proposed and confirmed one decision at a time: split into 5 groups — Meetings (Meeting Minutes), Notices &amp; Messages (Notice Board, Temple Calendar, Messaging, Support Tickets, Send Announcement, Reminders), Documents &amp; Records (Document Repository, Correspondence Register, Compliance Reminders), Activities (Activities), and AI Tools (AI Assistants — kept deliberately separate rather than folded into Documents &amp; Records, per Chris's own answer, since it isn't record-keeping and may grow more AI features later). Implemented using the exact same SEC_SUB_IDS/toggleSecSub()/closeSecSubFocus() accordion mechanism already used for the other 3 Secretarial Management groups (Donor Management/Consultant &amp; Practitioner/Membership Management), so it inherits compliance with the Section 90 Mandatory Standard automatically — verified no two sibling section flags share a route check (Rule 5).</w:t>
      </w:r>
    </w:p>
    <w:p>
      <w:pPr>
        <w:pStyle w:val="Normal"/>
      </w:pPr>
      <w:r>
        <w:t xml:space="preserve">Outstanding-item follow-ups (Chris asked to pick up the 3 items flagged at the end of Section 89): (a) Entity Maintenance access for CBE officers — Chris decided officers should be able to manage their own entity (loosen access rather than keep it platform-Admin-only). On inspection this was found to be ALREADY fully built in an earlier session — RequireAdminOrCbeOfficer middleware plus AdminCbeHierarchyNodeController's own hierarchy_path subtree scoping — so no new code was needed; verified and confirmed to Chris rather than re-built. (b) Task #397 Phase 17 PDF Official Receipt — Chris ran the cache-clear/migrate commands but has not yet reported back whether the Download PDF button was tested and opened correctly. Still genuinely open. (c) Pending migration 2026_09_11_000001_add_coverage_postcode_range_to_cbe_hierarchy_nodes.php — Chris ran php artisan migrate and it reported "Nothing to migrate", confirming this (and everything else pending) was already applied. Closed.</w:t>
      </w:r>
    </w:p>
    <w:p>
      <w:pPr>
        <w:pStyle w:val="Normal"/>
      </w:pPr>
      <w:r>
        <w:t xml:space="preserve">STATUS: All 9 new Secretarial Management features (7 approved in the first batch + Meeting Notice/Agenda/Quorum + AI Assistants) are built, migrated, and live. The Secretarial Management sidebar reorganization (5 groups replacing the old single Administration group) is live and confirmed by Chris. Of the 3 outstanding items from Section 89: (a) Entity Maintenance access is confirmed already resolved, (c) the pending migration is confirmed applied. Only (b) the PDF Official Receipt browser test remains genuinely open — Chris said "continue tomorrow" before reporting back on it. NEXT SESSION FIRST STEP: ask Chris directly whether the PDF Official Receipt downloaded and displayed correctly (organization name, receipt number, date, payer, description, amount in figures and words, issued-by, signature line) — if yes, close out Task #397's full 17-phase arc; if not, debug from his description of what went wrong.</w:t>
      </w:r>
    </w:p>
    <w:p>
      <w:pPr>
        <w:pStyle w:val="Normal"/>
      </w:pPr>
      <w:r>
        <w:rPr>
          <w:b/>
        </w:rPr>
        <w:t xml:space="preserve">92. Session Update — Online Meeting Attendance &amp; Minutes System, ROS Activity Report Tie-In, WhatsApp/Email OTP Attendance Confirmation, Secretarial Menu Fixes (18 Sep 2026, Task #422 follow-up)</w:t>
      </w:r>
    </w:p>
    <w:p>
      <w:pPr>
        <w:pStyle w:val="Normal"/>
      </w:pPr>
      <w:r>
        <w:t xml:space="preserve">Chris uploaded a formal "Online Meeting Attendance &amp; Meeting Minutes System" requirement document and asked Claude to incorporate it into the existing Meeting Minutes module rather than build a separate system (his own choice, offered both ways). Built as an extension: meeting_mode (ONLINE/PHYSICAL) + meeting_link + meeting_end_time added to cbe_meeting_minutes; an organizer-facing Record Attendance screen; an AI-drafting flow (new CbeMeetingMinutesAiDraftService, same Anthropic document-block API pattern as CbeKnowledgeBaseAssistantService) that reads an uploaded transcript/notes file or pasted text and produces five structured sections — Discussion, Decisions, Action Items, Other Matters, Next Meeting — which the organizer reviews/edits before an explicit Approve step (ai_draft_status NONE/DRAFTED/APPROVED, minutes_approved_at); and two new dompdf exports, Attendance Report PDF and Meeting Minutes PDF (resources/views/cbe/minutes/pdf/), following the same table/block-only layout convention as the existing Official Receipt PDF since dompdf does not support flexbox. Real-time Zoom/Google Meet/Teams attendance capture was explicitly discussed and ruled out for this v1: those platforms deliver attendance via a webhook call to a public HTTPS endpoint, which a localhost XAMPP install cannot receive — disclosed plainly to Chris rather than attempted or faked.</w:t>
      </w:r>
    </w:p>
    <w:p>
      <w:pPr>
        <w:pStyle w:val="Normal"/>
      </w:pPr>
      <w:r>
        <w:t xml:space="preserve">Chris then asked to remove Join Time/Leave Time entirely ("not every time need to input") and keep attendance to just Participant Name, Attendance Status, and Attendance Duration. Migration 2026_09_18_000002_remove_meeting_attendee_join_leave_time.php drops those two columns (guarded so it is safe whether or not the prior migration that added them had already run); the Record Attendance screen was rebuilt to a Status dropdown (Present/Partially Present/Absent) plus a duration-in-minutes number field, duration auto-disabled when Absent is picked.</w:t>
      </w:r>
    </w:p>
    <w:p>
      <w:pPr>
        <w:pStyle w:val="Normal"/>
      </w:pPr>
      <w:r>
        <w:t xml:space="preserve">Chris then asked for a self-service alternative ("suggest OTP on whatsapp and email otp la, upon respond/acceptance mean attending"), plus an automated 7-day-before availability/RSVP notice. Research found this was already substantially possible: a real, working Meta WhatsApp Business Cloud connector (WhatsAppCloudConnector) and per-agent Integration Hub credential vault already existed in the codebase (built 6-8 Aug 2026 for Notice Board delivery), so this reused that infrastructure rather than needing any new external account setup. Built CbeMeetingOtpNoticeService with two methods: sendAvailabilityNotice() (existing Meeting Notice + Agenda + RSVP flow, now also pushed by WhatsApp, auto-triggered 7 days before a SCHEDULED meeting by a new daily-scheduled command, SendMeetingAvailabilityNotices, reusing the existing notice_sent_at dedup column) and openAttendanceCheckin() (Secretary-initiated "Start Attendance Check-In" button — every roster attendee gets a personal one-time token/link by WhatsApp + Email + in-app; tapping it while logged in as themselves marks them Present; the link is per-agent so one member can never check in for another, and expires after 90 minutes). Migration 2026_09_18_000003_add_meeting_attendance_otp_checkin.php added checkin_token/checkin_token_expires_at/checkin_confirmed_at to cbe_meeting_minute_attendees and checkin_opened_at to cbe_meeting_minutes. Disclosed to Chris: WhatsApp delivery only actually sends once whoever starts the check-in has their own WhatsApp connected in Integration Hub — Email and in-app notification always work regardless, nothing blocks on this.</w:t>
      </w:r>
    </w:p>
    <w:p>
      <w:pPr>
        <w:pStyle w:val="Normal"/>
      </w:pPr>
      <w:r>
        <w:t xml:space="preserve">ROS Annual Activity Report ("association diary"): Chris asked whether an annual ROS activity report recording every meeting, site visit, dinner, festival prayer, and seminar for the year, each summarised to date/time/venue/description under 100 characters, had ever been requested — this turned out to already exist in large part (the Secretary Activity Report built 22 Aug 2026, AnnualReportController::secretaryReport(), combining Meeting Minutes + Activities into one Excel export), and the Temple Calendar (planned/upcoming events, built 17 Sep 2026) already covered the "plans for the year" half of the request. Extended rather than rebuilt: added venue/activity_time columns to cbe_activities and a venue column to cbe_temple_calendar_events; added a new CbeAccountingController::buildSecretaryActivityRows() helper combining Meeting Minutes + Activities + Temple Calendar plans into one date-sorted list, each row summarised to a single line under 100 characters (Str::limit); surfaced this as a new "Activity Report" tab inside the existing ROS Submission Checklist screen (cbe.accounting.ros-submission-checklist), per Chris's instruction that it "should place in ROS Submission module", with a link through to the full Excel export for complete detail. The Excel export itself (AnnualReportController::secretaryReport()) was also extended with Time/Venue columns and the Temple Calendar rows it was missing before.</w:t>
      </w:r>
    </w:p>
    <w:p>
      <w:pPr>
        <w:pStyle w:val="Normal"/>
      </w:pPr>
      <w:r>
        <w:t xml:space="preserve">Bug found and fixed in the master spec document itself: master-spec-v157-170926.docx, saved at the end of the 17 Sep 2026 session, was discovered this session to have its Section 91 misplaced — inserted between Sections 82 and 83 instead of after Section 90, because this .docx has an undocumented mid-document section break (a standalone w:sectPr partway through the file, likely a pre-existing Word artifact), and python-docx's ordinary add_paragraph() inserts new content before the FIRST w:sectPr it finds rather than at the true end of the document when more than one exists. Fixed by removing the misplaced paragraphs and re-appending them via direct lxml manipulation (body.append() on the raw XML element, bypassing add_paragraph()) to guarantee true end-of-document placement — this same direct-append method was used for this Section 92 too, and should be used for every future master-spec update on this specific file rather than plain add_paragraph().</w:t>
      </w:r>
    </w:p>
    <w:p>
      <w:pPr>
        <w:pStyle w:val="Normal"/>
      </w:pPr>
      <w:r>
        <w:t xml:space="preserve">"Temple" wording: Chris pointed out CBE is not temple-only and asked for a remaining "Temple Calendar" reference to be replaced with just "Calendar". Checked broadly first — the actual sidebar labels and page titles already said "Notice Board"/"Events Calendar" generically (fixed in an earlier session, 28 Aug 2026, per the same standing instruction) — the one genuine miss was the new ROS Activity Report tab's own note text, corrected.</w:t>
      </w:r>
    </w:p>
    <w:p>
      <w:pPr>
        <w:pStyle w:val="Normal"/>
      </w:pPr>
      <w:r>
        <w:t xml:space="preserve">Dashboard entry-point gap found and fixed: Chris reported not seeing any of the newly-built Secretarial Management features in his dashboard menu at all. Root cause found: every CBE/Secretarial view conditionally extends layouts.glade only when session('portal') === 'glade', and that flag was only ever set by a SEPARATE login at /glade (GladePortalController::loginSubmit()) — the normal dashboard (layouts/dashboard.blade.php, reached via the ordinary /login) had no link into GLADE at all, only an unrelated "CBE KPI" numbers-dashboard item. Added GladePortalController::enter() (route glade.enter), a bridge for an already-authenticated Admin/CBE officer that stamps the portal session flag and redirects straight into glade.home without a second password, plus a new "Secretarial Management" link on the normal dashboard sidebar pointing to it.</w:t>
      </w:r>
    </w:p>
    <w:p>
      <w:pPr>
        <w:pStyle w:val="Normal"/>
      </w:pPr>
      <w:r>
        <w:t xml:space="preserve">Secretarial Management submenu reorganized a second time: Chris found the 5-group version from Section 91 confusing — specifically that Tickets, Announcement Blast, and a personal Reminders link were bundled into a "Notices &amp; Messages" group alongside Notice Board and Calendar, none of which are actually part of running a meeting. Asked Claude to advise as an experienced NGO secretary would. Proposed and confirmed (after Chris asked Claude to just decide the remaining specifics) 6 groups, each one real secretarial job rather than a technical grouping: Meetings (Meeting Minutes only — notice/agenda/attendance/resolutions/PDFs already live inside each meeting itself); Notice Board (Notice Board + Announcement Blast); Member Communication (Messaging + Tickets — a new group, since fielding individual member questions is a different job from broadcasting); Compliance &amp; Records (Compliance Reminders named first, then Document Repository + Correspondence Register); Activities &amp; Calendar (Events Calendar + Activities together, since planning-ahead and logging-after are the same diary); AI Tools (AI Assistants, unchanged). The personal Reminders link (calendar.index, an individual agent's own to-do reminders) was removed from this menu entirely, since it was never a secretarial function. Implemented via a new secCommsSubMenu/secCommsSubParent accordion group added to the existing SEC_SUB_IDS mechanism; verified no two sibling route-active flags share a route pattern (Section 90 Rule 5) before saving.</w:t>
      </w:r>
    </w:p>
    <w:p>
      <w:pPr>
        <w:pStyle w:val="Normal"/>
      </w:pPr>
      <w:r>
        <w:t xml:space="preserve">Database migrations this session: 2026_09_18_000001_add_online_meeting_attendance_ros_report.php, 2026_09_18_000002_remove_meeting_attendee_join_leave_time.php, 2026_09_18_000003_add_meeting_attendance_otp_checkin.php — Chris was given the migrate + cache-clear commands to run; not yet confirmed run as of this writing.</w:t>
      </w:r>
    </w:p>
    <w:p>
      <w:pPr>
        <w:pStyle w:val="Normal"/>
      </w:pPr>
      <w:r>
        <w:t xml:space="preserve">STATUS: All work described above (Online Meeting Attendance/Minutes overhaul, ROS Activity Report tie-in, WhatsApp/Email OTP attendance confirmation, the master-spec document-structure bug fix, the Temple wording fix, the dashboard-to-GLADE entry point fix, and the 6-group Secretarial Management menu reorganization) is built and awaiting Chris running the migration + cache-clear commands, and awaiting his live confirmation that the new dashboard entry link and reorganized menu look right. Carried forward, still genuinely open: (b) from Section 89/91 — the Task #397 Phase 17 PDF Official Receipt has still never been confirmed tested by Chris. NEXT SESSION FIRST STEP: confirm migrations ran cleanly, confirm the new dashboard "Secretarial Management" link and 6-group menu look correct live, then return to the still-open PDF Official Receipt test.</w:t>
      </w:r>
    </w:p>
    <w:p>
      <w:r>
        <w:rPr>
          <w:b/>
        </w:rPr>
        <w:t>93. Session Update — Executive KPI Dashboard Sidebar Split, AI FAQ &amp; Answers Web/YouTube Knowledge Sources (18 Sep 2026)</w:t>
      </w:r>
    </w:p>
    <w:p>
      <w:r>
        <w:t>Continuing the earlier-session outstanding-items list (Chris: "continue to build all as per your sequence"), the last two items were closed out this session.</w:t>
      </w:r>
    </w:p>
    <w:p/>
    <w:p>
      <w:r>
        <w:t>Executive KPI Dashboard — sidebar split (per Chris's correction, twice): the new Communication/Vendor &amp; Marketplace/Customer KPI content (built earlier this session) was first added as a single combined "More KPI" page reached via an in-page button on Box 7 of the existing dashboard. Chris rejected this design twice — first because the link belonged in the sidebar submenu, not inside the existing KPI page; second because he wanted 4 SEPARATE sidebar links, not one combined "More KPI" page. Final design: the "Overall Executive KPI" sidebar submenu now has 4 distinct links — Overall Executive KPI (existing dashboard, unchanged), Communication KPI, Vendor Marketplace KPI, Customer KPI — each its own standalone no-scroll screen with a Prev button back to the main dashboard. AdminCbeKpiController::more()/CbeExecDashboardController::more() were each split into 3 separate methods (communicationKpi(), vendorMarketplaceKpi(), customerKpi()); the combined more.blade.php views (both admin and officer side) were deleted (with Chris's device-delete permission) and replaced with 6 single-box view files. Routes admin.cbe-kpi.communication/vendor-marketplace/customer and cbe.exec-dashboard.communication/vendor-marketplace/customer replace the old .more routes. New lang/en/sidebar.php keys: communication_kpi, vendor_marketplace_kpi, customer_kpi. No new migration.</w:t>
      </w:r>
    </w:p>
    <w:p/>
    <w:p>
      <w:r>
        <w:t>AI FAQ &amp; Answers — Web Link / YouTube knowledge sources (closes the outstanding "Carolyn/AI FAQ persona upgrade" item): the existing CbeAiAssistantController (built 17 Sep, document-only knowledge base) can now also learn from a plain web link/article or a YouTube video, in addition to up to 3 Document Repository files. New app/Services/CbeAiSourceFetchService::fetch() fetches and caches page text (strip-tags best-effort) or a YouTube video's caption transcript (parsed from the watch page's captionTracks JSON, no paid API) ONCE at attach time, not on every question — consistent with the existing feature's no-edit-after-create scope. A source that fails to fetch (bad link, no captions, site unreachable) is still saved with fetch_status=FAILED and a plain-language fetch_error, shown as a warning on the chat screen naming exactly which source failed and why, rather than silently vanishing. CbeKnowledgeBaseAssistantService::ask() extended to accept these cached web/video text sources alongside document file bytes, both governed by the same "never guess outside the attached sources" system prompt rule. New migration: 2026_09_18_000005_create_cbe_ai_assistant_sources_table.php (cbe_ai_assistant_sources: source_id, assistant_id, type ENUM(URL,YOUTUBE), url, title, cached_content, fetch_status, fetch_error, fetched_at). Purely additive — cbe_ai_assistants/cbe_ai_assistant_documents untouched.</w:t>
      </w:r>
    </w:p>
    <w:p/>
    <w:p>
      <w:r>
        <w:t>ms/zh translations added for the new cbe_exec.php "More KPI" page keys (box_communication_kpi, box_vendor_marketplace_kpi, box_customer_kpi and their row_* labels) — these were English-only when first built earlier this session.</w:t>
      </w:r>
    </w:p>
    <w:p/>
    <w:p>
      <w:r>
        <w:t>Known outstanding i18n gaps (not addressed this session, flagged for later): lang/en/sidebar.php's executive_kpi_dashboard/communication_kpi/vendor_marketplace_kpi/customer_kpi keys are English-only (no ms/zh — the parent key itself was already English-only before tonight's split). lang/en/cbe_ai_assistant.php (the whole AI FAQ &amp; Answers feature, including tonight's new web_sources keys) has never had ms/zh files — English-only since it was first built 17 Sep.</w:t>
      </w:r>
    </w:p>
    <w:p/>
    <w:p>
      <w:r>
        <w:t>Also fixed while editing this document: the master-spec .docx file itself had a structural defect (a body-level w:sectPr sitting mid-document instead of as the true last element, likely a leftover from an earlier session's edit script) which was silently causing every new session's appended content to be inserted BEFORE the prior content instead of after it. Moved the sectPr to the true end of the document before adding this section, so future appends land in the correct place. Chris should have this session's update visibly at the very end of the document now, and future sessions should too — worth a quick visual check next time the document is opened.</w:t>
      </w:r>
    </w:p>
    <w:p/>
    <w:p>
      <w:r>
        <w:t>Deferred, NOT started this session (both explicitly flagged earlier as needing their own separate task, not part of the original 5-item outstanding list): (1) WhatsApp delivery of CBE receipts/documents — the existing WhatsApp sender is DSG/ORG-contact-scoped, text-only, no attachment support; sending a PDF receipt over WhatsApp needs its own scoping. (2) Donor/Customer Master full merge across the ~10 dependent screens (AdminCbeDonorsController, AdminCbeAppointmentsController, AdminCbeParticipationController, AdminCbeKpiController, AiAccountingController, CbeAccountingController, ContributionController, DonorController, EventReportController, donors index view) — Phase 1 (additive agent_id link + is_donor flag) is live; the full merge remains Phase 2, deferred per Chris's own framing of it as "a separate careful task."</w:t>
      </w:r>
    </w:p>
    <w:p/>
    <w:p>
      <w:r>
        <w:t>Session ended for the night at Chris's own instruction ("you continue i want to sleep now dont ask me continue, you automatic carry to finish your development") — work proceeded without further check-ins per his standing design-authority rule ("you are my designer... i only feedback to you when i test the system/program").</w:t>
      </w:r>
    </w:p>
    <w:p/>
    <w:p>
      <w:r>
        <w:t>STATUS: Executive KPI Dashboard 4-way sidebar split — LIVE, no migration needed (view:clear/cache:clear only). AI FAQ &amp; Answers web/YouTube sources — migration 2026_09_18_000005 not yet run by Chris; feature will not work until he runs php artisan migrate. Both balance-checked (brace/paren/div/@if counts) before being reported. Chris has not yet tested either change.</w:t>
      </w:r>
    </w:p>
    <w:p>
      <w:r>
        <w:rPr>
          <w:b w:val="0"/>
        </w:rPr>
      </w:r>
    </w:p>
    <w:p>
      <w:r>
        <w:rPr>
          <w:b/>
        </w:rPr>
        <w:t>94. Session Update — AI-Power Category/GL-Code Auto-Suggest Extended Across All Treasury Management Programs (19 Sep 2026)</w:t>
      </w:r>
    </w:p>
    <w:p>
      <w:r>
        <w:rPr>
          <w:b w:val="0"/>
        </w:rPr>
        <w:t>Chris asked for the AI-power keyword auto-suggest capability already built for the AI Accounting Automation bank-statement review screen to be applied to every other Treasury Management program: AR Invoices, AP Bills, GL Journal Voucher/Adjustment Journal/Accrual Journal, Fixed Assets, and Bank Reconciliation. Per Section 37.0.6 (Mandatory Confirmation Rule, also added this session), Claude first mapped all 6 screens, found they split into 3 structurally different groups, and confirmed the approach with Chris for each group before building.</w:t>
      </w:r>
    </w:p>
    <w:p>
      <w:r>
        <w:rPr>
          <w:b w:val="0"/>
        </w:rPr>
        <w:t>Group 1 — AR Invoices and AP Bills: fit the existing cbe_transaction_categories-based pattern (line_description[] + line_category[] per line item). Built as client-side (JavaScript) auto-suggest, since these are live data-entry forms with no pre-extracted description to match server-side — the treasurer is still typing it in. On losing focus from a line's Description box, if that line's Category dropdown is still on "None", it is auto-filled from a keyword match; a category the treasurer already chose is never overridden.</w:t>
      </w:r>
    </w:p>
    <w:p>
      <w:r>
        <w:rPr>
          <w:b w:val="0"/>
        </w:rPr>
        <w:t>Group 2 — GL Journal Voucher, Adjustment Journal, Accrual Journal, and Bank Reconciliation adjustment: these screens pick a GL Account directly from the Chart of Accounts (line_account[] / gl_account_id), not a transaction category. A new method, TransactionClassificationService::suggestChartAccountId(), matches the same keyword hint list against each account's own code/name text instead of a category's name; wired into these 4 screens the same way, client-side, matched against the account dropdown's own option text.</w:t>
      </w:r>
    </w:p>
    <w:p>
      <w:r>
        <w:rPr>
          <w:b w:val="0"/>
        </w:rPr>
        <w:t>Group 3 — Fixed Assets: does not fit the description+category shape at all (only a short Asset Name field, paired with a separate cbe_asset_categories table). Chris confirmed he still wants it, and supplied his own category list (land, building, machinery, computer, motor, van, aircond, furniture, bike). Built a new, separate keyword table (ASSET_CATEGORY_HINTS) and method (suggestAssetCategoryId()) matching the Asset Name box against his own category names — same anti-fabrication rule as the rest of the AI matching (never guesses a category that doesn't already exist in his own Chart of Accounts / Asset Categories / Transaction Categories).</w:t>
      </w:r>
    </w:p>
    <w:p>
      <w:r>
        <w:rPr>
          <w:b w:val="0"/>
        </w:rPr>
        <w:t>Chris also asked, in plain terms, exactly how "smart" the matching really is. Claude explained honestly: it is a keyword-list lookup, not a thinking AI — e.g. "lunch"/"meal" -&gt; Refreshment/Entertainment and "electricity"/"rental" -&gt; Utilities already match, but a bare word like "claim" alone does not match anything (it doesn't say what the claim is for). Two new keyword rules were added this session to GL_CATEGORY_HINTS to start covering this gap: medical claim/bill wording -&gt; Medical, and petrol/toll/parking/mileage/travel claim wording -&gt; Travel/Transport. Chris agreed to keep flagging real description wording that should have matched but didn't, so the keyword lists keep growing over time — this is expected ongoing maintenance, not a one-time build.</w:t>
      </w:r>
    </w:p>
    <w:p>
      <w:r>
        <w:rPr>
          <w:b w:val="0"/>
        </w:rPr>
        <w:t>Files touched: app/Services/TransactionClassificationService.php (2 new keyword tables, 2 new matching methods, 2 new keyword rules added to the existing GL_CATEGORY_HINTS list); app/Http/Controllers/Cbe/CbeAccountingController.php (createBill/createInvoice/createJournalVoucher/createAdjustmentJournal/createAccrualJournal/createFixedAsset/createBankAdjustmentForm — each now passes the relevant hint list to its view); resources/views/cbe/accounting/create-invoice.blade.php, create-bill.blade.php, create-journal-voucher.blade.php, create-adjustment-journal.blade.php, create-accrual-journal.blade.php, create-bank-adjustment.blade.php, create-fixed-asset.blade.php (each given a small inline JavaScript auto-suggest block).</w:t>
      </w:r>
    </w:p>
    <w:p>
      <w:r>
        <w:rPr>
          <w:b w:val="0"/>
        </w:rPr>
        <w:t>STATUS: Built and deployed to all 6 screens (7 files) this session. Chris still needs to run php artisan view:clear &amp;&amp; php artisan cache:clear and test each screen. No database migration needed — this is PHP + JS only, no new tables/columns.</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