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65C0"/>
          <w:sz w:val="40"/>
          <w:szCs w:val="40"/>
        </w:rPr>
        <w:t xml:space="preserve">GeneralLink Vendor Rebate Scheme</w:t>
      </w:r>
    </w:p>
    <w:p>
      <w:pPr>
        <w:spacing w:after="40"/>
      </w:pPr>
      <w:r>
        <w:rPr>
          <w:color w:val="6B7280"/>
          <w:sz w:val="26"/>
          <w:szCs w:val="26"/>
        </w:rPr>
        <w:t xml:space="preserve">Process, Audit Trail &amp; Fraud Control — Design Proposal</w:t>
      </w:r>
    </w:p>
    <w:p>
      <w:pPr>
        <w:spacing w:after="300"/>
      </w:pPr>
      <w:r>
        <w:rPr>
          <w:i/>
          <w:iCs/>
          <w:color w:val="6B7280"/>
          <w:sz w:val="20"/>
          <w:szCs w:val="20"/>
        </w:rPr>
        <w:t xml:space="preserve">Prepared for Chris Yap  ·  8 August 2026</w:t>
      </w:r>
    </w:p>
    <w:p>
      <w:pPr>
        <w:pStyle w:val="Heading1"/>
        <w:spacing w:after="150" w:before="300"/>
      </w:pPr>
      <w:r>
        <w:t xml:space="preserve">1. Why this document exists</w:t>
      </w:r>
    </w:p>
    <w:p>
      <w:pPr>
        <w:spacing w:after="120"/>
      </w:pPr>
      <w:r>
        <w:t xml:space="preserve">The Offer Request feature currently live in GeneralLink is a simple flow: a vendor or agent types up a promotion, Admin reviews and approves it, and it posts to the Notice Board. That flow has no mechanism for a vendor to formally confirm the exact final terms of a rebate scheme, no evidence trail proving the vendor agreed to what was announced, no way to target a specific audience, and no tracking at all of who actually redeems a rebate afterward — so GeneralLink cannot show sales history, per-agent rebate earnings, or a leaderboard, and has no defense against a redemption being faked.</w:t>
      </w:r>
    </w:p>
    <w:p>
      <w:pPr>
        <w:spacing w:after="120"/>
      </w:pPr>
      <w:r>
        <w:t xml:space="preserve">This document proposes the full process to close those gaps, including the fraud controls needed once real money is involved. Nothing here is built yet — this is the design to review before any code is written.</w:t>
      </w:r>
    </w:p>
    <w:p>
      <w:pPr>
        <w:pStyle w:val="Heading1"/>
        <w:spacing w:after="150" w:before="300"/>
      </w:pPr>
      <w:r>
        <w:t xml:space="preserve">2. End-to-end process</w:t>
      </w:r>
    </w:p>
    <w:p>
      <w:pPr>
        <w:spacing w:after="120"/>
      </w:pPr>
      <w:r>
        <w:t xml:space="preserve">Six stages, replacing the current single-step "submit then approve" flow:</w:t>
      </w:r>
    </w:p>
    <w:p>
      <w:pPr>
        <w:pStyle w:val="ListParagraph"/>
        <w:numPr>
          <w:ilvl w:val="0"/>
          <w:numId w:val="2"/>
        </w:numPr>
        <w:spacing w:after="80"/>
      </w:pPr>
      <w:r>
        <w:t xml:space="preserve">Vendor (or an agent on the vendor's behalf) submits a rebate scheme proposal: the offer terms, the rebate percentage or amount, an expiry date, and the intended target audience.</w:t>
      </w:r>
    </w:p>
    <w:p>
      <w:pPr>
        <w:pStyle w:val="ListParagraph"/>
        <w:numPr>
          <w:ilvl w:val="0"/>
          <w:numId w:val="2"/>
        </w:numPr>
        <w:spacing w:after="80"/>
      </w:pPr>
      <w:r>
        <w:t xml:space="preserve">Admin reviews the proposal and may adjust the final terms (e.g. a different percentage, a narrower audience, a firmer expiry date).</w:t>
      </w:r>
    </w:p>
    <w:p>
      <w:pPr>
        <w:pStyle w:val="ListParagraph"/>
        <w:numPr>
          <w:ilvl w:val="0"/>
          <w:numId w:val="2"/>
        </w:numPr>
        <w:spacing w:after="80"/>
      </w:pPr>
      <w:r>
        <w:t xml:space="preserve">Admin sends the final terms back to the vendor for formal confirmation — the scheme is NOT live yet.</w:t>
      </w:r>
    </w:p>
    <w:p>
      <w:pPr>
        <w:pStyle w:val="ListParagraph"/>
        <w:numPr>
          <w:ilvl w:val="0"/>
          <w:numId w:val="2"/>
        </w:numPr>
        <w:spacing w:after="80"/>
      </w:pPr>
      <w:r>
        <w:t xml:space="preserve">The vendor confirms in the Vendor Portal by re-entering their password against the exact final terms (a lightweight e-signature), and — for higher-value schemes — can also attach a signed document as extra evidence. Both the confirmation click and any uploaded document are permanently logged.</w:t>
      </w:r>
    </w:p>
    <w:p>
      <w:pPr>
        <w:pStyle w:val="ListParagraph"/>
        <w:numPr>
          <w:ilvl w:val="0"/>
          <w:numId w:val="2"/>
        </w:numPr>
        <w:spacing w:after="80"/>
      </w:pPr>
      <w:r>
        <w:t xml:space="preserve">Only after vendor confirmation does the scheme go live and get announced to the specific target audience chosen in step 1–2 — not broadcast to everyone by default, the way Notice Board works today.</w:t>
      </w:r>
    </w:p>
    <w:p>
      <w:pPr>
        <w:pStyle w:val="ListParagraph"/>
        <w:numPr>
          <w:ilvl w:val="0"/>
          <w:numId w:val="2"/>
        </w:numPr>
        <w:spacing w:after="80"/>
      </w:pPr>
      <w:r>
        <w:t xml:space="preserve">As the audience redeems the rebate, every redemption is written to a new Rebate Redemption Ledger, which is what actually earns GeneralLink its keep — see section 5.</w:t>
      </w:r>
    </w:p>
    <w:p>
      <w:pPr>
        <w:spacing w:after="120"/>
      </w:pPr>
      <w:r>
        <w:t xml:space="preserve">Every transition between these stages is timestamped and attributed to a specific person (Admin or vendor). That log, not any single screen, is the audit trail Admin can point to as evidence the vendor agreed to precisely what was announced.</w:t>
      </w:r>
    </w:p>
    <w:p>
      <w:pPr>
        <w:pStyle w:val="Heading1"/>
        <w:spacing w:after="150" w:before="300"/>
      </w:pPr>
      <w:r>
        <w:t xml:space="preserve">3. Target audience</w:t>
      </w:r>
    </w:p>
    <w:p>
      <w:pPr>
        <w:spacing w:after="120"/>
      </w:pPr>
      <w:r>
        <w:t xml:space="preserve">Notice Board today has no targeting — every notice goes to every agent. Broadcast Campaigns (Growth &amp; Outreach Center) already has a working targeting model that this scheme should reuse rather than invent a new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65C0" w:val="clear"/>
          </w:tcPr>
          <w:p>
            <w:r>
              <w:rPr>
                <w:b/>
                <w:bCs/>
                <w:color w:val="FFFFFF"/>
                <w:sz w:val="20"/>
                <w:szCs w:val="20"/>
              </w:rPr>
              <w:t xml:space="preserve">Audience option</w:t>
            </w:r>
          </w:p>
        </w:tc>
        <w:tc>
          <w:tcPr>
            <w:tcW w:type="dxa" w:w="6000"/>
            <w:shd w:fill="1565C0" w:val="clear"/>
          </w:tcPr>
          <w:p>
            <w:r>
              <w:rPr>
                <w:b/>
                <w:bCs/>
                <w:color w:val="FFFFFF"/>
                <w:sz w:val="20"/>
                <w:szCs w:val="20"/>
              </w:rPr>
              <w:t xml:space="preserve">What it targets</w:t>
            </w:r>
          </w:p>
        </w:tc>
      </w:tr>
      <w:tr>
        <w:tc>
          <w:tcPr>
            <w:tcW w:type="dxa" w:w="3000"/>
          </w:tcPr>
          <w:p>
            <w:r>
              <w:rPr>
                <w:b w:val="false"/>
                <w:bCs w:val="false"/>
                <w:color w:val="000000"/>
                <w:sz w:val="20"/>
                <w:szCs w:val="20"/>
              </w:rPr>
              <w:t xml:space="preserve">All Agents</w:t>
            </w:r>
          </w:p>
        </w:tc>
        <w:tc>
          <w:tcPr>
            <w:tcW w:type="dxa" w:w="6000"/>
          </w:tcPr>
          <w:p>
            <w:r>
              <w:rPr>
                <w:b w:val="false"/>
                <w:bCs w:val="false"/>
                <w:color w:val="000000"/>
                <w:sz w:val="20"/>
                <w:szCs w:val="20"/>
              </w:rPr>
              <w:t xml:space="preserve">Every Admin/GL/TL/Introducer account</w:t>
            </w:r>
          </w:p>
        </w:tc>
      </w:tr>
      <w:tr>
        <w:tc>
          <w:tcPr>
            <w:tcW w:type="dxa" w:w="3000"/>
          </w:tcPr>
          <w:p>
            <w:r>
              <w:rPr>
                <w:b w:val="false"/>
                <w:bCs w:val="false"/>
                <w:color w:val="000000"/>
                <w:sz w:val="20"/>
                <w:szCs w:val="20"/>
              </w:rPr>
              <w:t xml:space="preserve">Agents by role</w:t>
            </w:r>
          </w:p>
        </w:tc>
        <w:tc>
          <w:tcPr>
            <w:tcW w:type="dxa" w:w="6000"/>
          </w:tcPr>
          <w:p>
            <w:r>
              <w:rPr>
                <w:b w:val="false"/>
                <w:bCs w:val="false"/>
                <w:color w:val="000000"/>
                <w:sz w:val="20"/>
                <w:szCs w:val="20"/>
              </w:rPr>
              <w:t xml:space="preserve">Just Group Leaders, just Team Leaders, or just Introducers</w:t>
            </w:r>
          </w:p>
        </w:tc>
      </w:tr>
      <w:tr>
        <w:tc>
          <w:tcPr>
            <w:tcW w:type="dxa" w:w="3000"/>
          </w:tcPr>
          <w:p>
            <w:r>
              <w:rPr>
                <w:b w:val="false"/>
                <w:bCs w:val="false"/>
                <w:color w:val="000000"/>
                <w:sz w:val="20"/>
                <w:szCs w:val="20"/>
              </w:rPr>
              <w:t xml:space="preserve">Agents by organisation group</w:t>
            </w:r>
          </w:p>
        </w:tc>
        <w:tc>
          <w:tcPr>
            <w:tcW w:type="dxa" w:w="6000"/>
          </w:tcPr>
          <w:p>
            <w:r>
              <w:rPr>
                <w:b w:val="false"/>
                <w:bCs w:val="false"/>
                <w:color w:val="000000"/>
                <w:sz w:val="20"/>
                <w:szCs w:val="20"/>
              </w:rPr>
              <w:t xml:space="preserve">One specific Group Name / Special Privilege Group</w:t>
            </w:r>
          </w:p>
        </w:tc>
      </w:tr>
      <w:tr>
        <w:tc>
          <w:tcPr>
            <w:tcW w:type="dxa" w:w="3000"/>
          </w:tcPr>
          <w:p>
            <w:r>
              <w:rPr>
                <w:b w:val="false"/>
                <w:bCs w:val="false"/>
                <w:color w:val="000000"/>
                <w:sz w:val="20"/>
                <w:szCs w:val="20"/>
              </w:rPr>
              <w:t xml:space="preserve">Customers</w:t>
            </w:r>
          </w:p>
        </w:tc>
        <w:tc>
          <w:tcPr>
            <w:tcW w:type="dxa" w:w="6000"/>
          </w:tcPr>
          <w:p>
            <w:r>
              <w:rPr>
                <w:b w:val="false"/>
                <w:bCs w:val="false"/>
                <w:color w:val="000000"/>
                <w:sz w:val="20"/>
                <w:szCs w:val="20"/>
              </w:rPr>
              <w:t xml:space="preserve">Every customer on file, optionally narrowed to one agent group's customers</w:t>
            </w:r>
          </w:p>
        </w:tc>
      </w:tr>
    </w:tbl>
    <w:p>
      <w:pPr>
        <w:spacing w:after="160"/>
      </w:pPr>
    </w:p>
    <w:p>
      <w:pPr>
        <w:spacing w:after="120"/>
      </w:pPr>
      <w:r>
        <w:t xml:space="preserve">The vendor picks the audience when submitting the scheme; Admin can narrow it during review. This is stored on the offer itself and enforced at announcement time — not a suggestion, a hard filter.</w:t>
      </w:r>
    </w:p>
    <w:p>
      <w:pPr>
        <w:pStyle w:val="Heading1"/>
        <w:spacing w:after="150" w:before="300"/>
      </w:pPr>
      <w:r>
        <w:t xml:space="preserve">4. Vendor sign-off &amp; audit trail — the evidence</w:t>
      </w:r>
    </w:p>
    <w:p>
      <w:pPr>
        <w:spacing w:after="120"/>
      </w:pPr>
      <w:r>
        <w:t xml:space="preserve">Per your decision: both a portal click-to-confirm AND an optional signed document.</w:t>
      </w:r>
    </w:p>
    <w:p>
      <w:pPr>
        <w:pStyle w:val="ListParagraph"/>
        <w:numPr>
          <w:ilvl w:val="0"/>
          <w:numId w:val="3"/>
        </w:numPr>
        <w:spacing w:after="80"/>
      </w:pPr>
      <w:r>
        <w:t xml:space="preserve">Portal confirmation: the vendor sees the exact final title, terms, rebate value, audience and expiry Admin approved, and must re-enter their password to confirm — this is timestamped, IP-logged, and permanently stored as “confirmed_terms_snapshot” (the literal text they agreed to, frozen at that moment, so a later edit anywhere else can never retroactively change what the evidence says they signed off on).</w:t>
      </w:r>
    </w:p>
    <w:p>
      <w:pPr>
        <w:pStyle w:val="ListParagraph"/>
        <w:numPr>
          <w:ilvl w:val="0"/>
          <w:numId w:val="3"/>
        </w:numPr>
        <w:spacing w:after="80"/>
      </w:pPr>
      <w:r>
        <w:t xml:space="preserve">Optional signed document: for higher-value schemes, the vendor can additionally upload a signed terms sheet (PDF/image), stored alongside the confirmation record.</w:t>
      </w:r>
    </w:p>
    <w:p>
      <w:pPr>
        <w:pStyle w:val="ListParagraph"/>
        <w:numPr>
          <w:ilvl w:val="0"/>
          <w:numId w:val="3"/>
        </w:numPr>
        <w:spacing w:after="80"/>
      </w:pPr>
      <w:r>
        <w:t xml:space="preserve">If Admin later needs to change anything after the vendor has confirmed, that requires a brand new confirmation cycle — an already-confirmed scheme is never silently edited.</w:t>
      </w:r>
    </w:p>
    <w:p>
      <w:pPr>
        <w:pStyle w:val="Heading1"/>
        <w:spacing w:after="150" w:before="300"/>
      </w:pPr>
      <w:r>
        <w:t xml:space="preserve">5. Rebate Redemption Ledger — GeneralLink's system of record</w:t>
      </w:r>
    </w:p>
    <w:p>
      <w:pPr>
        <w:spacing w:after="120"/>
      </w:pPr>
      <w:r>
        <w:t xml:space="preserve">Whether the vendor pays the rebate directly at the counter or GeneralLink processes the payout, every confirmed redemption is written to a new ledger table — the same pattern already used for the Earning Income Ledger. This is what makes GeneralLink valuable even when the vendor is the one handing over the discount: GeneralLink is the only party holding the complete, trustworthy record.</w:t>
      </w:r>
    </w:p>
    <w:p>
      <w:pPr>
        <w:spacing w:after="120"/>
      </w:pPr>
      <w:r>
        <w:t xml:space="preserve">The ledger records, per redemption: which agent (and/or customer), which vendor scheme, the amount, the redemption code used, its verification status, and the timestamp. From this, GeneralLink can produce, without any extra manual work: total sales/redemption volume per scheme, each agent's rebate earnings over time, and a top-3 (or top-N) leaderboard of earning participants — reusing the same reporting patterns already built for Sales and Earning Income Forecast.</w:t>
      </w:r>
    </w:p>
    <w:p>
      <w:pPr>
        <w:pStyle w:val="Heading1"/>
        <w:spacing w:after="150" w:before="300"/>
      </w:pPr>
      <w:r>
        <w:t xml:space="preserve">6. Fraud control — layered defense</w:t>
      </w:r>
    </w:p>
    <w:p>
      <w:pPr>
        <w:spacing w:after="120"/>
      </w:pPr>
      <w:r>
        <w:t xml:space="preserve">No single control stops a cashier and an authorized agent who are actively colluding — that is true of every rebate, loyalty, or voucher scheme in existence, run by banks and telcos included. The professional standard is not one perfect control; it is several independent layers, so that defeating the scheme requires falsifying multiple unrelated records at once, not just one person looking the other way.</w:t>
      </w:r>
    </w:p>
    <w:p>
      <w:pPr>
        <w:pStyle w:val="Heading2"/>
        <w:spacing w:after="100" w:before="240"/>
      </w:pPr>
      <w:r>
        <w:t xml:space="preserve">6.1 Take the decision away from the cashier</w:t>
      </w:r>
    </w:p>
    <w:p>
      <w:pPr>
        <w:spacing w:after="120"/>
      </w:pPr>
      <w:r>
        <w:t xml:space="preserve">A redemption code must never be something a cashier can approve by eye. Validating a code requires a real-time call from the point of sale back to GeneralLink's own server, which is the only party allowed to mark a code as used. A cashier cannot invent or reuse a code without it showing up as a duplicate or failed attempt in a log they do not control.</w:t>
      </w:r>
    </w:p>
    <w:p>
      <w:pPr>
        <w:pStyle w:val="Heading2"/>
        <w:spacing w:after="100" w:before="240"/>
      </w:pPr>
      <w:r>
        <w:t xml:space="preserve">6.2 Make the code hard to hand out in advance</w:t>
      </w:r>
    </w:p>
    <w:p>
      <w:pPr>
        <w:spacing w:after="120"/>
      </w:pPr>
      <w:r>
        <w:t xml:space="preserve">A static code that can be written down and reused is weak. A code generated live on the customer's own phone, refreshing every 30–60 seconds like a banking OTP, means a real person with a real device must be physically present at redemption — turning a two-party conspiracy into a harder three-party one.</w:t>
      </w:r>
    </w:p>
    <w:p>
      <w:pPr>
        <w:pStyle w:val="Heading2"/>
        <w:spacing w:after="100" w:before="240"/>
      </w:pPr>
      <w:r>
        <w:t xml:space="preserve">6.3 Three-way match</w:t>
      </w:r>
    </w:p>
    <w:p>
      <w:pPr>
        <w:spacing w:after="120"/>
      </w:pPr>
      <w:r>
        <w:t xml:space="preserve">This is the standard accounting fraud control (the same principle used to catch fake supplier invoices): a claim only counts once three independent records agree — GeneralLink's own code-issuance record, GeneralLink's real-time redemption log, and the vendor's own point-of-sale or e-invoice record of a genuine retail sale. One person lying is easy; three independent systems agreeing to lie is not.</w:t>
      </w:r>
    </w:p>
    <w:p>
      <w:pPr>
        <w:pStyle w:val="Heading2"/>
        <w:spacing w:after="100" w:before="240"/>
      </w:pPr>
      <w:r>
        <w:t xml:space="preserve">6.4 Catch what still slips through</w:t>
      </w:r>
    </w:p>
    <w:p>
      <w:pPr>
        <w:spacing w:after="120"/>
      </w:pPr>
      <w:r>
        <w:t xml:space="preserve">Reuses the Risk Review Queue already built in GeneralLink (the fraud_review_flags table behind today's Sales Transaction fraud checks) with a new category for redemption patterns: one cashier or terminal processing an outlier share of redemptions, or one agent redeeming unusually often at one outlet, gets flagged for Admin review automatically — the same screen Admin already uses for other fraud review, not a new one to learn.</w:t>
      </w:r>
    </w:p>
    <w:p>
      <w:pPr>
        <w:pStyle w:val="Heading2"/>
        <w:spacing w:after="100" w:before="240"/>
      </w:pPr>
      <w:r>
        <w:t xml:space="preserve">6.5 Bound the damage and assign responsibility</w:t>
      </w:r>
    </w:p>
    <w:p>
      <w:pPr>
        <w:spacing w:after="120"/>
      </w:pPr>
      <w:r>
        <w:t xml:space="preserve">A cap on rebate value per agent per period limits what any single act of collusion can cost. The Vendor Agreement should make the vendor contractually responsible for their own staff's fraud, so GeneralLink and honest agents are not the ones left exposed if a specific outlet turns out to be dishonest.</w:t>
      </w:r>
    </w:p>
    <w:p>
      <w:pPr>
        <w:pStyle w:val="Heading2"/>
        <w:spacing w:after="100" w:before="240"/>
      </w:pPr>
      <w:r>
        <w:t xml:space="preserve">6.6 Affiliate-initiated declaration — Chris's proposal, refined</w:t>
      </w:r>
    </w:p>
    <w:p>
      <w:pPr>
        <w:spacing w:after="120"/>
      </w:pPr>
      <w:r>
        <w:t xml:space="preserve">Chris proposed moving the whole trigger point away from the vendor's cashier entirely: the AFFILIATE requests a claim code themselves, GeneralLink audits the request for suspicious patterns, and the vendor's role shrinks to providing a reference number plus a reconciliation report. This is a real improvement over section 6.1-6.3 above — it removes the cashier as a decision-maker altogether, which is the actual weak point in every layer proposed earlier.</w:t>
      </w:r>
    </w:p>
    <w:p>
      <w:pPr>
        <w:spacing w:after="120"/>
      </w:pPr>
      <w:r>
        <w:t xml:space="preserve">One adjustment: this does not need to be a separate installable mobile app. A native app means Apple/Google store submission and review, a second codebase in a different language, and ongoing maintenance for every future OS update — a much bigger build than the goal requires, and exactly the kind of scope creep Chris asked to avoid. Every part of this idea works just as well as a guided flow inside the GeneralLink web app that already opens fine on a phone's browser, with Carolyn walking the affiliate through it — no install, no store approval, one codebase.</w:t>
      </w:r>
    </w:p>
    <w:p>
      <w:pPr>
        <w:spacing w:after="120"/>
      </w:pPr>
      <w:r>
        <w:t xml:space="preserve">Proposed flow: the affiliate opens “Claim a Rebate” (or simply asks Carolyn), picks the vendor scheme, and takes a photo with their phone's own camera or uploads a file from a PC — both are standard browser features, no app required. GeneralLink runs the image through the same AI document-reading already built for Document Credit: it rejects and asks for a retake if the image is too blurry to read, and automatically extracts the amount, date, and the vendor's reference number printed on the bill. Once accepted, GeneralLink issues a Rebate Declaration Code (keeping Chris's “declaration” language, short reference format like existing ticket codes, e.g. RDC-000123) tied to that specific claim.</w:t>
      </w:r>
    </w:p>
    <w:p>
      <w:pPr>
        <w:spacing w:after="120"/>
      </w:pPr>
      <w:r>
        <w:t xml:space="preserve">GeneralLink audits the REQUEST itself in real time, not only after the fact — unusually frequent requests or unusually large claimed amounts from one affiliate flag automatically into the existing Risk Review Queue for Admin, the same screen already used for other fraud review.</w:t>
      </w:r>
    </w:p>
    <w:p>
      <w:pPr>
        <w:spacing w:after="120"/>
      </w:pPr>
      <w:r>
        <w:t xml:space="preserve">On the vendor side: the reference number visible on the affiliate's photographed bill (hotel folio number, receipt number) is the vendor's contribution to the match. Separately, when Admin reconciles payment received from the vendor, Admin uploads the vendor's own breakdown — an Excel/CSV export or their ERP/POS report — and GeneralLink automatically cross-checks every declared claim's reference number against it, flagging anything declared but missing from the vendor's report, or present in the vendor's report but never declared.</w:t>
      </w:r>
    </w:p>
    <w:p>
      <w:pPr>
        <w:spacing w:after="120"/>
      </w:pPr>
      <w:r>
        <w:t xml:space="preserve">This keeps the three-way match from section 6.3 intact — affiliate's own declaration, GeneralLink's real-time issuance log, and the vendor's independent reconciliation report — while removing the cashier from the decision entirely, and without adding a second app to build and maintain.</w:t>
      </w:r>
    </w:p>
    <w:p>
      <w:pPr>
        <w:pStyle w:val="Heading1"/>
        <w:spacing w:after="150" w:before="300"/>
      </w:pPr>
      <w:r>
        <w:t xml:space="preserve">7.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1565C0" w:val="clear"/>
          </w:tcPr>
          <w:p>
            <w:r>
              <w:rPr>
                <w:b/>
                <w:bCs/>
                <w:color w:val="FFFFFF"/>
                <w:sz w:val="20"/>
                <w:szCs w:val="20"/>
              </w:rPr>
              <w:t xml:space="preserve">Phase</w:t>
            </w:r>
          </w:p>
        </w:tc>
        <w:tc>
          <w:tcPr>
            <w:tcW w:type="dxa" w:w="3200"/>
            <w:shd w:fill="1565C0" w:val="clear"/>
          </w:tcPr>
          <w:p>
            <w:r>
              <w:rPr>
                <w:b/>
                <w:bCs/>
                <w:color w:val="FFFFFF"/>
                <w:sz w:val="20"/>
                <w:szCs w:val="20"/>
              </w:rPr>
              <w:t xml:space="preserve">Delivers</w:t>
            </w:r>
          </w:p>
        </w:tc>
        <w:tc>
          <w:tcPr>
            <w:tcW w:type="dxa" w:w="4200"/>
            <w:shd w:fill="1565C0" w:val="clear"/>
          </w:tcPr>
          <w:p>
            <w:r>
              <w:rPr>
                <w:b/>
                <w:bCs/>
                <w:color w:val="FFFFFF"/>
                <w:sz w:val="20"/>
                <w:szCs w:val="20"/>
              </w:rPr>
              <w:t xml:space="preserve">Why this order</w:t>
            </w:r>
          </w:p>
        </w:tc>
      </w:tr>
      <w:tr>
        <w:tc>
          <w:tcPr>
            <w:tcW w:type="dxa" w:w="1600"/>
          </w:tcPr>
          <w:p>
            <w:r>
              <w:rPr>
                <w:b w:val="false"/>
                <w:bCs w:val="false"/>
                <w:color w:val="000000"/>
                <w:sz w:val="20"/>
                <w:szCs w:val="20"/>
              </w:rPr>
              <w:t xml:space="preserve">Phase 1</w:t>
            </w:r>
          </w:p>
        </w:tc>
        <w:tc>
          <w:tcPr>
            <w:tcW w:type="dxa" w:w="3200"/>
          </w:tcPr>
          <w:p>
            <w:r>
              <w:rPr>
                <w:b w:val="false"/>
                <w:bCs w:val="false"/>
                <w:color w:val="000000"/>
                <w:sz w:val="20"/>
                <w:szCs w:val="20"/>
              </w:rPr>
              <w:t xml:space="preserve">Vendor sign-off, audit trail, target audience</w:t>
            </w:r>
          </w:p>
        </w:tc>
        <w:tc>
          <w:tcPr>
            <w:tcW w:type="dxa" w:w="4200"/>
          </w:tcPr>
          <w:p>
            <w:r>
              <w:rPr>
                <w:b w:val="false"/>
                <w:bCs w:val="false"/>
                <w:color w:val="000000"/>
                <w:sz w:val="20"/>
                <w:szCs w:val="20"/>
              </w:rPr>
              <w:t xml:space="preserve">Fixes the immediate gap you raised — no scheme goes live without proven vendor agreement, and it reaches the right audience instead of everyone.</w:t>
            </w:r>
          </w:p>
        </w:tc>
      </w:tr>
      <w:tr>
        <w:tc>
          <w:tcPr>
            <w:tcW w:type="dxa" w:w="1600"/>
          </w:tcPr>
          <w:p>
            <w:r>
              <w:rPr>
                <w:b w:val="false"/>
                <w:bCs w:val="false"/>
                <w:color w:val="000000"/>
                <w:sz w:val="20"/>
                <w:szCs w:val="20"/>
              </w:rPr>
              <w:t xml:space="preserve">Phase 2</w:t>
            </w:r>
          </w:p>
        </w:tc>
        <w:tc>
          <w:tcPr>
            <w:tcW w:type="dxa" w:w="3200"/>
          </w:tcPr>
          <w:p>
            <w:r>
              <w:rPr>
                <w:b w:val="false"/>
                <w:bCs w:val="false"/>
                <w:color w:val="000000"/>
                <w:sz w:val="20"/>
                <w:szCs w:val="20"/>
              </w:rPr>
              <w:t xml:space="preserve">Rebate Redemption Ledger + leaderboard reporting</w:t>
            </w:r>
          </w:p>
        </w:tc>
        <w:tc>
          <w:tcPr>
            <w:tcW w:type="dxa" w:w="4200"/>
          </w:tcPr>
          <w:p>
            <w:r>
              <w:rPr>
                <w:b w:val="false"/>
                <w:bCs w:val="false"/>
                <w:color w:val="000000"/>
                <w:sz w:val="20"/>
                <w:szCs w:val="20"/>
              </w:rPr>
              <w:t xml:space="preserve">Needs Phase 1's confirmed schemes to exist first before anything can be redeemed against them.</w:t>
            </w:r>
          </w:p>
        </w:tc>
      </w:tr>
      <w:tr>
        <w:tc>
          <w:tcPr>
            <w:tcW w:type="dxa" w:w="1600"/>
          </w:tcPr>
          <w:p>
            <w:r>
              <w:rPr>
                <w:b w:val="false"/>
                <w:bCs w:val="false"/>
                <w:color w:val="000000"/>
                <w:sz w:val="20"/>
                <w:szCs w:val="20"/>
              </w:rPr>
              <w:t xml:space="preserve">Phase 3</w:t>
            </w:r>
          </w:p>
        </w:tc>
        <w:tc>
          <w:tcPr>
            <w:tcW w:type="dxa" w:w="4200"/>
          </w:tcPr>
          <w:p>
            <w:r>
              <w:rPr>
                <w:b w:val="false"/>
                <w:bCs w:val="false"/>
                <w:color w:val="000000"/>
                <w:sz w:val="20"/>
                <w:szCs w:val="20"/>
              </w:rPr>
              <w:t xml:space="preserve">Live redemption codes, real-time validation, three-way match, fraud pattern rules</w:t>
            </w:r>
          </w:p>
        </w:tc>
        <w:tc>
          <w:tcPr>
            <w:tcW w:type="dxa" w:w="4200"/>
          </w:tcPr>
          <w:p>
            <w:r>
              <w:rPr>
                <w:b w:val="false"/>
                <w:bCs w:val="false"/>
                <w:color w:val="000000"/>
                <w:sz w:val="20"/>
                <w:szCs w:val="20"/>
              </w:rPr>
              <w:t xml:space="preserve">The full fraud-control layer — needs the ledger from Phase 2 to write against.</w:t>
            </w:r>
          </w:p>
        </w:tc>
      </w:tr>
    </w:tbl>
    <w:p>
      <w:pPr>
        <w:spacing w:after="160"/>
      </w:pPr>
    </w:p>
    <w:p>
      <w:pPr>
        <w:spacing w:after="120"/>
      </w:pPr>
      <w:r>
        <w:t xml:space="preserve">No code will be written until you confirm this proposal — please review and tell me what to change, or that it's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2026-08-07T16:29:35.649Z</dcterms:created>
  <dcterms:modified xsi:type="dcterms:W3CDTF">2026-08-07T16:29:35.656Z</dcterms:modified>
</cp:coreProperties>
</file>

<file path=docProps/custom.xml><?xml version="1.0" encoding="utf-8"?>
<Properties xmlns="http://schemas.openxmlformats.org/officeDocument/2006/custom-properties" xmlns:vt="http://schemas.openxmlformats.org/officeDocument/2006/docPropsVTypes"/>
</file>