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2C71" w14:textId="6B40B76E" w:rsidR="00FF16C3" w:rsidRPr="00FF16C3" w:rsidRDefault="00FF16C3" w:rsidP="00FF16C3">
      <w:p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F16C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Журавлев ПИ20-1</w:t>
      </w:r>
    </w:p>
    <w:p w14:paraId="296D7359" w14:textId="50A0DCBD" w:rsidR="0063687E" w:rsidRPr="00FF16C3" w:rsidRDefault="00FF16C3" w:rsidP="00FF16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16C3">
        <w:rPr>
          <w:rFonts w:ascii="Times New Roman" w:hAnsi="Times New Roman" w:cs="Times New Roman"/>
          <w:color w:val="000000"/>
          <w:shd w:val="clear" w:color="auto" w:fill="FFFFFF"/>
        </w:rPr>
        <w:t>По способу передачи сигнала все шины можно разделить на последовательные и параллельные.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Основным отличием параллельных шин от последовательных является сам способ передачи данных. Параллельные шины можно рассматривать как совокупность сигнальных линий (можно </w:t>
      </w:r>
      <w:proofErr w:type="gram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сказать</w:t>
      </w:r>
      <w:proofErr w:type="gram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что просто проводников), объединённых по их назначению (данные, адреса, управление), которые имеют определённые электрические характеристики и протоколы передачи информации. Группы этих сигнальных линий также называются шинами: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- Линии для обмена данными (шина данных);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- Линии для адресации данных (шина адреса);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- Линии для управления данными (шина управления);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Шина данных – это основная шина, по </w:t>
      </w:r>
      <w:proofErr w:type="gram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которой собственно</w:t>
      </w:r>
      <w:proofErr w:type="gram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и происходит передача информации. Количество ее разрядов (линий связи) определяет скорость и эффективность информационного обмена.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Шина адреса — 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Шина управления — это вспомогательная шина, управляющие сигналы на которой обеспечивают согласование работы процессора (или другого хозяина магистрали, задатчика,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master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) с работой памяти или устройства ввода/вывода (устройства-исполнителя,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slave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В последовательных шинах используется одна сигнальная линия (возможно использование двух отдельных каналов для разделения потоков приёма-передачи). Соответственно, информационные биты здесь передаются последовательно. Данные для передачи через последовательную шину облекаются в пакеты (пакет – единица информации, передаваемая как целое между двумя устройствами), в которые, помимо собственно полезных данных, включается некоторое количество служебной информации: старт-биты, заголовки пакетов, синхросигналы, биты чётности или контрольные суммы, стоп-биты и т. п.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В качестве примера приведем описание обмена для последовательного интерфейса RS-232.</w:t>
      </w:r>
    </w:p>
    <w:p w14:paraId="67C5FF90" w14:textId="39C3A806" w:rsidR="00FF16C3" w:rsidRPr="00FF16C3" w:rsidRDefault="00FF16C3" w:rsidP="00FF16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AGP - специализированная 32-разрядная шина для видеокарты, разработанная в 1996 году компанией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Intel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. Основной задачей разработчиков было увеличение производительности и уменьшение стоимости видеокарты, за счёт уменьшения количества встроенной видеопамяти. По замыслу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Intel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, большие объёмы видеопамяти для AGP-карт были бы не нужны, поскольку технология предусматривала высокоскоростной доступ к общей памяти. Её отличия от предшественницы, шины PCI: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работа на тактовой частоте 66 МГц;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увеличенная пропускная способность;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режим работы с памятью DMA и DME;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разделение запросов на операцию и передачу данных;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• возможность использования видеокарт с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бо́льшим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энергопотреблением, нежели PCI.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Передача данных из основной памяти в видеопамять карты осуществляется в два этапа, сначала передаётся 64-битный адрес, откуда данные нужно считать, затем идут сами данные. Шина AGP предусматривает два варианта передачи: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первый — совместим с шиной PCI — запросы данных и адреса происходят по одному каналу;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• второй — в режиме SBA (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SideBand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Addressing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), по отдельной боковой шине, таким образом, можно посыл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Высокая пиковая производительность шины PCI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позволяет использовать её вместо шин AGP. Де-факто PCI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заменила эти шины в персональных компьютерах.</w:t>
      </w:r>
    </w:p>
    <w:p w14:paraId="2211B477" w14:textId="417DD809" w:rsidR="00FF16C3" w:rsidRPr="00FF16C3" w:rsidRDefault="00FF16C3" w:rsidP="00FF16C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F16C3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1)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X1 (первое поколение), в него также входят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Mini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PCI-E (разновидность PCI-E для портативных устройств), SSD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Mini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PCI-E (мини версия PCI-E) и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ExpressCard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(версия PCI-E для ноутбуков);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2)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X2 (второе поколение), в него также входят PCI-E X2.1 (По физическим характеристикам (скорость, разъём) соответствует 2.0, в программной части добавлены функции, которые в полной мере планируют внедрить в версии 3.0);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3)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X3 (третье поколение);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4)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X4 (четвертое поколение);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5)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X5 (пятое поколение);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>6) PCI-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Express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 X6 (шестое поколение), планируемая дата выхода – 2021 год</w:t>
      </w:r>
      <w:r w:rsidRPr="00FF16C3">
        <w:rPr>
          <w:rFonts w:ascii="Times New Roman" w:hAnsi="Times New Roman" w:cs="Times New Roman"/>
          <w:color w:val="000000"/>
        </w:rPr>
        <w:br/>
      </w:r>
      <w:r w:rsidRPr="00FF16C3">
        <w:rPr>
          <w:rFonts w:ascii="Times New Roman" w:hAnsi="Times New Roman" w:cs="Times New Roman"/>
          <w:color w:val="000000"/>
          <w:shd w:val="clear" w:color="auto" w:fill="FFFFFF"/>
        </w:rPr>
        <w:t xml:space="preserve">Главным различием между всеми версиями можно назвать размер слота PCI-E и количество ее полос (x1, x2, x4 и </w:t>
      </w:r>
      <w:proofErr w:type="spellStart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тд</w:t>
      </w:r>
      <w:proofErr w:type="spellEnd"/>
      <w:r w:rsidRPr="00FF16C3"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tbl>
      <w:tblPr>
        <w:tblpPr w:leftFromText="180" w:rightFromText="180" w:vertAnchor="page" w:horzAnchor="margin" w:tblpXSpec="center" w:tblpY="4309"/>
        <w:tblW w:w="1124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70"/>
        <w:gridCol w:w="2880"/>
        <w:gridCol w:w="3017"/>
        <w:gridCol w:w="2881"/>
      </w:tblGrid>
      <w:tr w:rsidR="00FF16C3" w14:paraId="028E66AE" w14:textId="77777777" w:rsidTr="00FF16C3">
        <w:trPr>
          <w:trHeight w:val="485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A4E8C" w14:textId="77777777" w:rsidR="00FF16C3" w:rsidRPr="00A33E0B" w:rsidRDefault="00FF16C3" w:rsidP="00FF16C3">
            <w:pPr>
              <w:pStyle w:val="HTML"/>
            </w:pPr>
            <w:r w:rsidRPr="00A33E0B">
              <w:rPr>
                <w:sz w:val="24"/>
              </w:rPr>
              <w:lastRenderedPageBreak/>
              <w:t>Параметры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44992" w14:textId="197ABBD5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FutureBus</w:t>
            </w:r>
            <w:proofErr w:type="spellEnd"/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7317D" w14:textId="6F38FC01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MultuBus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 xml:space="preserve"> II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12853E" w14:textId="04102B15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VME bus</w:t>
            </w:r>
          </w:p>
        </w:tc>
      </w:tr>
      <w:tr w:rsidR="00FF16C3" w14:paraId="0BCD8ABF" w14:textId="77777777" w:rsidTr="00FF16C3">
        <w:trPr>
          <w:trHeight w:val="638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5DBCE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Ширина шины</w:t>
            </w:r>
            <w:r>
              <w:br/>
              <w:t xml:space="preserve">(кол-во сигналов)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CE4953" w14:textId="7D37AF79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96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FDDAD" w14:textId="0FF29352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96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81EAD" w14:textId="3906FB69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128</w:t>
            </w:r>
          </w:p>
        </w:tc>
      </w:tr>
      <w:tr w:rsidR="00FF16C3" w14:paraId="4841AF79" w14:textId="77777777" w:rsidTr="00FF16C3">
        <w:trPr>
          <w:trHeight w:val="766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08831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Мультиплексирование</w:t>
            </w:r>
            <w:r>
              <w:br/>
              <w:t xml:space="preserve">адреса/данных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85B298" w14:textId="7F026EA0" w:rsidR="00FF16C3" w:rsidRPr="00FF16C3" w:rsidRDefault="00FF16C3" w:rsidP="00FF16C3">
            <w:pPr>
              <w:jc w:val="center"/>
            </w:pPr>
            <w:r>
              <w:t>Да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12F2E" w14:textId="07D739E4" w:rsidR="00FF16C3" w:rsidRPr="004E4AE1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Да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003B" w14:textId="68B5E38A" w:rsidR="00FF16C3" w:rsidRDefault="00FF16C3" w:rsidP="00FF16C3">
            <w:pPr>
              <w:jc w:val="center"/>
            </w:pPr>
            <w:r>
              <w:t>Нет</w:t>
            </w:r>
          </w:p>
        </w:tc>
      </w:tr>
      <w:tr w:rsidR="00FF16C3" w14:paraId="7A5A350D" w14:textId="77777777" w:rsidTr="00FF16C3">
        <w:trPr>
          <w:trHeight w:val="626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59F35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Разрядность</w:t>
            </w:r>
            <w:r>
              <w:br/>
              <w:t xml:space="preserve">данных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97D75" w14:textId="75236768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16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 xml:space="preserve">/32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бит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EDD1A" w14:textId="5D9270E0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32 бит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F501FD" w14:textId="0852A7E0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32 бит</w:t>
            </w:r>
          </w:p>
        </w:tc>
      </w:tr>
      <w:tr w:rsidR="00FF16C3" w14:paraId="6B2CD47E" w14:textId="77777777" w:rsidTr="00FF16C3">
        <w:trPr>
          <w:trHeight w:val="485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2345F" w14:textId="77777777" w:rsidR="00FF16C3" w:rsidRDefault="00FF16C3" w:rsidP="00FF16C3">
            <w:r>
              <w:t>Частота шины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01C11" w14:textId="77777777" w:rsidR="00FF16C3" w:rsidRPr="00C378AE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1A63F" w14:textId="77777777" w:rsidR="00FF16C3" w:rsidRPr="00EE102B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39235" w14:textId="77777777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FF16C3" w14:paraId="34116561" w14:textId="77777777" w:rsidTr="00FF16C3">
        <w:trPr>
          <w:trHeight w:val="626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0CC6D" w14:textId="77777777" w:rsidR="00FF16C3" w:rsidRDefault="00FF16C3" w:rsidP="00FF16C3">
            <w:r>
              <w:t>Максимальная пропускная способность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F45BF" w14:textId="77777777" w:rsidR="00FF16C3" w:rsidRPr="00C378AE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36331" w14:textId="77777777" w:rsidR="00FF16C3" w:rsidRPr="00EE102B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31081F" w14:textId="77777777" w:rsidR="00FF16C3" w:rsidRPr="00EE102B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FF16C3" w14:paraId="05AB7D3B" w14:textId="77777777" w:rsidTr="00FF16C3">
        <w:trPr>
          <w:trHeight w:val="882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B0518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Полоса пропускания</w:t>
            </w:r>
            <w:r>
              <w:br/>
              <w:t>(время доступа -</w:t>
            </w:r>
            <w:r>
              <w:br/>
              <w:t xml:space="preserve">0 </w:t>
            </w:r>
            <w:proofErr w:type="spellStart"/>
            <w:r>
              <w:t>нс</w:t>
            </w:r>
            <w:proofErr w:type="spellEnd"/>
            <w:r>
              <w:t xml:space="preserve"> - 1 слово)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F2ECE" w14:textId="316A8344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 xml:space="preserve">37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/c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35A71" w14:textId="4CABBDBF" w:rsidR="00FF16C3" w:rsidRPr="00FF16C3" w:rsidRDefault="00FF16C3" w:rsidP="00FF16C3">
            <w:pPr>
              <w:jc w:val="center"/>
            </w:pPr>
            <w:r>
              <w:rPr>
                <w:lang w:val="en-US"/>
              </w:rPr>
              <w:t>20</w:t>
            </w:r>
            <w:r>
              <w:t xml:space="preserve"> МБ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1976F" w14:textId="4BBA5FBF" w:rsidR="00FF16C3" w:rsidRPr="00FF16C3" w:rsidRDefault="00FF16C3" w:rsidP="00FF16C3">
            <w:pPr>
              <w:jc w:val="center"/>
              <w:rPr>
                <w:lang w:val="en-US"/>
              </w:rPr>
            </w:pPr>
            <w:r>
              <w:t>25.9 МБ</w:t>
            </w:r>
            <w:r>
              <w:rPr>
                <w:lang w:val="en-US"/>
              </w:rPr>
              <w:t>/c</w:t>
            </w:r>
          </w:p>
        </w:tc>
      </w:tr>
      <w:tr w:rsidR="00FF16C3" w14:paraId="0B1AFA9A" w14:textId="77777777" w:rsidTr="00FF16C3">
        <w:trPr>
          <w:trHeight w:val="971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FF64F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Полоса пропускания</w:t>
            </w:r>
            <w:r>
              <w:br/>
              <w:t>(время доступа -</w:t>
            </w:r>
            <w:r>
              <w:br/>
              <w:t xml:space="preserve">150нс - 1 слово)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8FF2D" w14:textId="768007AA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 xml:space="preserve">15.5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с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25052" w14:textId="11C55BA1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10 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00DB7" w14:textId="0C3ED977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12.9 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/c</w:t>
            </w:r>
          </w:p>
        </w:tc>
      </w:tr>
      <w:tr w:rsidR="00FF16C3" w14:paraId="036EF4B0" w14:textId="77777777" w:rsidTr="00FF16C3">
        <w:trPr>
          <w:trHeight w:val="1124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CA69C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Полоса пропускания</w:t>
            </w:r>
            <w:r>
              <w:br/>
              <w:t xml:space="preserve">(время доступа - 0нс - </w:t>
            </w:r>
            <w:proofErr w:type="spellStart"/>
            <w:r>
              <w:t>неогр</w:t>
            </w:r>
            <w:proofErr w:type="spellEnd"/>
            <w:r>
              <w:t>. размер</w:t>
            </w:r>
            <w:r>
              <w:br/>
              <w:t xml:space="preserve">блока)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07F24" w14:textId="1EBE0C1A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95.2 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с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FA8B6E" w14:textId="13C10E53" w:rsidR="00FF16C3" w:rsidRPr="00FF16C3" w:rsidRDefault="00FF16C3" w:rsidP="00FF16C3">
            <w:pPr>
              <w:jc w:val="center"/>
              <w:rPr>
                <w:lang w:val="en-US"/>
              </w:rPr>
            </w:pPr>
            <w:r>
              <w:t>40 МБ</w:t>
            </w:r>
            <w:r>
              <w:rPr>
                <w:lang w:val="en-US"/>
              </w:rPr>
              <w:t>/c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C3BE79" w14:textId="42397805" w:rsidR="00FF16C3" w:rsidRPr="00FF16C3" w:rsidRDefault="00FF16C3" w:rsidP="00FF16C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27.9 </w:t>
            </w:r>
            <w:r>
              <w:rPr>
                <w:b/>
              </w:rPr>
              <w:t>МБ</w:t>
            </w:r>
            <w:r>
              <w:rPr>
                <w:b/>
                <w:lang w:val="en-US"/>
              </w:rPr>
              <w:t>/c</w:t>
            </w:r>
          </w:p>
        </w:tc>
      </w:tr>
      <w:tr w:rsidR="00FF16C3" w14:paraId="1735921C" w14:textId="77777777" w:rsidTr="00FF16C3">
        <w:trPr>
          <w:trHeight w:val="1124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DB76A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>Полоса пропускания</w:t>
            </w:r>
            <w:r>
              <w:br/>
              <w:t>(время доступа -</w:t>
            </w:r>
            <w:r>
              <w:br/>
              <w:t xml:space="preserve">150нс - </w:t>
            </w:r>
            <w:proofErr w:type="spellStart"/>
            <w:r>
              <w:t>неогр</w:t>
            </w:r>
            <w:proofErr w:type="spellEnd"/>
            <w:r>
              <w:t xml:space="preserve">. размер блока)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22F2D" w14:textId="46C332D5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20.8 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/c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8D119" w14:textId="428E5652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 xml:space="preserve">13.3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МБ</w:t>
            </w:r>
            <w:r>
              <w:rPr>
                <w:rFonts w:ascii="Arial Unicode MS" w:eastAsia="Arial Unicode MS" w:hAnsi="Arial Unicode MS" w:cs="Arial Unicode MS"/>
                <w:color w:val="000000"/>
                <w:lang w:val="en-US"/>
              </w:rPr>
              <w:t>/c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3AA0BF" w14:textId="089DAFB6" w:rsidR="00FF16C3" w:rsidRP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13.6 МБ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lang w:val="en-US"/>
              </w:rPr>
              <w:t>/c</w:t>
            </w:r>
          </w:p>
        </w:tc>
      </w:tr>
      <w:tr w:rsidR="00FF16C3" w14:paraId="14876786" w14:textId="77777777" w:rsidTr="00FF16C3">
        <w:trPr>
          <w:trHeight w:val="638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30406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t xml:space="preserve">Максимальное количество устройств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E61CD" w14:textId="0415A305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21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6AC69E" w14:textId="3AAE41EB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20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290BC" w14:textId="53277E96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21</w:t>
            </w:r>
          </w:p>
        </w:tc>
      </w:tr>
      <w:tr w:rsidR="00FF16C3" w14:paraId="4D5F09B3" w14:textId="77777777" w:rsidTr="00FF16C3">
        <w:trPr>
          <w:trHeight w:val="35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9B3063" w14:textId="77777777" w:rsidR="00FF16C3" w:rsidRDefault="00FF16C3" w:rsidP="00FF16C3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lastRenderedPageBreak/>
              <w:t>Максимальная</w:t>
            </w:r>
            <w:r>
              <w:br/>
              <w:t xml:space="preserve">длина шины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BFBFD" w14:textId="6A37672D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0.5 м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EF154" w14:textId="180B6CEF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0.5 м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1CE3E0" w14:textId="0C56AA47" w:rsidR="00FF16C3" w:rsidRDefault="00FF16C3" w:rsidP="00FF16C3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0.5 м</w:t>
            </w:r>
          </w:p>
        </w:tc>
      </w:tr>
    </w:tbl>
    <w:p w14:paraId="314E57EB" w14:textId="77777777" w:rsidR="00FF16C3" w:rsidRPr="00FF16C3" w:rsidRDefault="00FF16C3" w:rsidP="00FF16C3">
      <w:pPr>
        <w:pStyle w:val="a3"/>
        <w:rPr>
          <w:rFonts w:ascii="Times New Roman" w:hAnsi="Times New Roman" w:cs="Times New Roman"/>
        </w:rPr>
      </w:pPr>
    </w:p>
    <w:sectPr w:rsidR="00FF16C3" w:rsidRPr="00FF1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A017B"/>
    <w:multiLevelType w:val="hybridMultilevel"/>
    <w:tmpl w:val="8C809880"/>
    <w:lvl w:ilvl="0" w:tplc="FD1EEC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4A"/>
    <w:rsid w:val="00A752BD"/>
    <w:rsid w:val="00D474F2"/>
    <w:rsid w:val="00EE754A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9007"/>
  <w15:chartTrackingRefBased/>
  <w15:docId w15:val="{DD6BC6D8-7D93-4318-8F2C-DB3EBF76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6C3"/>
    <w:pPr>
      <w:ind w:left="720"/>
      <w:contextualSpacing/>
    </w:pPr>
  </w:style>
  <w:style w:type="paragraph" w:styleId="HTML">
    <w:name w:val="HTML Preformatted"/>
    <w:basedOn w:val="a"/>
    <w:link w:val="HTML0"/>
    <w:semiHidden/>
    <w:rsid w:val="00FF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FF16C3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2020-12-07T06:26:00Z</dcterms:created>
  <dcterms:modified xsi:type="dcterms:W3CDTF">2020-12-07T06:35:00Z</dcterms:modified>
</cp:coreProperties>
</file>