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3036" w14:textId="77777777" w:rsidR="00AF4AC5" w:rsidRDefault="00AF4AC5" w:rsidP="00AF4AC5">
      <w:pPr>
        <w:pStyle w:val="a3"/>
        <w:shd w:val="clear" w:color="auto" w:fill="FFF3D9"/>
        <w:spacing w:before="75" w:beforeAutospacing="0" w:after="15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 рассказе Достоевский ставит проблему кризиса нигилистического сознания и возрождения личности через обретение веры в положительный смысл человеческой жизни.</w:t>
      </w:r>
    </w:p>
    <w:p w14:paraId="0C804CEE" w14:textId="77777777" w:rsidR="00AF4AC5" w:rsidRDefault="00AF4AC5" w:rsidP="00AF4AC5">
      <w:pPr>
        <w:pStyle w:val="a3"/>
        <w:shd w:val="clear" w:color="auto" w:fill="FFF3D9"/>
        <w:spacing w:before="75" w:beforeAutospacing="0" w:after="150" w:afterAutospacing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Писатель предваряет пути развития западной философии, выстраивая ступени эволюции человеческого духа в условиях секуляризованного сознания. Его интересует диалектика развития личности человека, который впервые начал сознавать свою значимость и предназначение среди людей в отрыве от «культуры цели», формировавшейся в лоне христианского мироощущения. Ведущим признаком этой культуры была оправданность человеческой жизни высшим трансцендентным смыслом, и каждый ее миг осознавался как движение к вечной, благой цели. Переход от трансцендентности к имманентности в европейской культуре XIX в. был связан с попыткой найти духовные ориентиры и абсолюты вне идеи Бога, однако разработанные философией XIX в. концепции мира и человека не смогли дать удовлетворительных ответов на эти запросы человеческого духа. Обнаружилась неспособность рационального познания отыскать новые цели, оправдание и смысл бытия. Кризис позитивизма вылился в форму нигилистического сознания, отрицания всей системы традиционных общечеловеческих ценностей. В сознании современного Достоевскому человека возник образ лишенной смысла и основания мировой и человеческой жизни. Обладая разрушительной силой, этот образ лишал человека веры в идеал и обрекал личность на самоуничтожение. Актуальность Достоевского, по мнению итальянского исследователя Дж. Начини, «состоит в том, что он со всей глубиной осознал то очевидно безвыходное положение, в котором оказалось человечество, неумолимо сползавшее в тупик нигилизма, и &lt;...&gt; тяжелые последствия этого положения»</w:t>
      </w:r>
    </w:p>
    <w:p w14:paraId="43BC2E6B" w14:textId="45A2D838" w:rsidR="0063687E" w:rsidRDefault="00AF4AC5">
      <w:pPr>
        <w:rPr>
          <w:rFonts w:ascii="Tahoma" w:hAnsi="Tahoma" w:cs="Tahoma"/>
          <w:color w:val="000000"/>
          <w:shd w:val="clear" w:color="auto" w:fill="FFF3D9"/>
        </w:rPr>
      </w:pPr>
      <w:r>
        <w:rPr>
          <w:rFonts w:ascii="Tahoma" w:hAnsi="Tahoma" w:cs="Tahoma"/>
          <w:color w:val="000000"/>
          <w:shd w:val="clear" w:color="auto" w:fill="FFF3D9"/>
        </w:rPr>
        <w:t>«Сон смешного человека», написанный в форме </w:t>
      </w:r>
      <w:r w:rsidRPr="00675D3B">
        <w:rPr>
          <w:rFonts w:ascii="Tahoma" w:hAnsi="Tahoma" w:cs="Tahoma"/>
          <w:shd w:val="clear" w:color="auto" w:fill="FFF3D9"/>
        </w:rPr>
        <w:t>исповеди</w:t>
      </w:r>
      <w:r>
        <w:rPr>
          <w:rFonts w:ascii="Tahoma" w:hAnsi="Tahoma" w:cs="Tahoma"/>
          <w:color w:val="000000"/>
          <w:shd w:val="clear" w:color="auto" w:fill="FFF3D9"/>
        </w:rPr>
        <w:t>, является зеркалом сознания «героя Нового времени», отражающего процесс утраты высших жизненных ценностей, ведущих к духовной гибели, и поиск путей преодоления духовного кризиса. Художественная задача автора в этом произведении состоит в исследовании существа человека в аспекте его принципиальных отношений к сущему в целом.</w:t>
      </w:r>
    </w:p>
    <w:p w14:paraId="613561CA" w14:textId="1005124B" w:rsidR="00AF4AC5" w:rsidRDefault="00AF4AC5">
      <w:pPr>
        <w:rPr>
          <w:rFonts w:ascii="Tahoma" w:hAnsi="Tahoma" w:cs="Tahoma"/>
          <w:color w:val="000000"/>
          <w:shd w:val="clear" w:color="auto" w:fill="FFF3D9"/>
        </w:rPr>
      </w:pPr>
      <w:r>
        <w:rPr>
          <w:rFonts w:ascii="Tahoma" w:hAnsi="Tahoma" w:cs="Tahoma"/>
          <w:color w:val="000000"/>
          <w:shd w:val="clear" w:color="auto" w:fill="FFF3D9"/>
        </w:rPr>
        <w:t>Подвергая себя беспощадному самоанализу, герой исповеди пытается дать законченное определение своей личности и находит его в осознании своего «смешного», несерьезного положения в жизни. Герой оторван от живого, непосредственного восприятия действительности: для него существует только реальность, возможность рационального познания самого себя, не знающая доводов нравственного чувства: «...для меня вся моя университетская наука как бы для того только и существовала под конец, чтобы доказывать и объяснять мне, по мере того как я в нее углублялся, что я смешон». С самого первого момента своего становления герой проникался скептическим мироощущением, обесценивая собственную личность и с ужасом сознавая, как теряет она свою ценность и в глазах окружающих его людей.</w:t>
      </w:r>
    </w:p>
    <w:p w14:paraId="2D9B86DD" w14:textId="487C55E4" w:rsidR="00AF4AC5" w:rsidRDefault="00AF4AC5">
      <w:pPr>
        <w:rPr>
          <w:rFonts w:ascii="Tahoma" w:hAnsi="Tahoma" w:cs="Tahoma"/>
          <w:color w:val="000000"/>
          <w:shd w:val="clear" w:color="auto" w:fill="FFF3D9"/>
        </w:rPr>
      </w:pPr>
      <w:r>
        <w:rPr>
          <w:rFonts w:ascii="Tahoma" w:hAnsi="Tahoma" w:cs="Tahoma"/>
          <w:color w:val="000000"/>
          <w:shd w:val="clear" w:color="auto" w:fill="FFF3D9"/>
        </w:rPr>
        <w:t xml:space="preserve">Жанр рассказа восходит к средневековой исповеди, в которой изображался грешный путь героя, приходящего к прозрению истины. Своеобразие жизненного пути «смешного человека» состоит в том, что он подвергался не плотским искушениям, а искушениям духа: отказ от веры в высшее начало бытия, </w:t>
      </w:r>
      <w:proofErr w:type="spellStart"/>
      <w:r>
        <w:rPr>
          <w:rFonts w:ascii="Tahoma" w:hAnsi="Tahoma" w:cs="Tahoma"/>
          <w:color w:val="000000"/>
          <w:shd w:val="clear" w:color="auto" w:fill="FFF3D9"/>
        </w:rPr>
        <w:t>всеразъедающий</w:t>
      </w:r>
      <w:proofErr w:type="spellEnd"/>
      <w:r>
        <w:rPr>
          <w:rFonts w:ascii="Tahoma" w:hAnsi="Tahoma" w:cs="Tahoma"/>
          <w:color w:val="000000"/>
          <w:shd w:val="clear" w:color="auto" w:fill="FFF3D9"/>
        </w:rPr>
        <w:t xml:space="preserve"> скепсис и отрицание смысла жизни приводят героя к мысли о самоуничтожении. Выход из духовного кризиса герой обретает благодаря вмешательству иррациональных сил, по воле которых он становится свидетелем идеального состояния человечества, живущего в единстве с целым Вселенной. В рассказе присутствуют элементы утопии (описание идеального мироустройства) и антиутопии, ставящей под сомнение возможность достижения эры </w:t>
      </w:r>
      <w:r>
        <w:rPr>
          <w:rFonts w:ascii="Tahoma" w:hAnsi="Tahoma" w:cs="Tahoma"/>
          <w:color w:val="000000"/>
          <w:shd w:val="clear" w:color="auto" w:fill="FFF3D9"/>
        </w:rPr>
        <w:lastRenderedPageBreak/>
        <w:t>всеобщего счастья. Антиутопическое начало заложено в истории «совращения» «смешным человеком» жителей далекой планеты. Блаженство этих людей было проявлением заложенного в природе их личности бессознательного, естественного добра, но стоило герою рассказа поразить «бациллой лжи» их нравственно здоровый организм, как жизнь их превратилась в подобие земной, исполненной зла и страданий. В отношении достижения идеала мировой гармонии насильственным путем писатель также не питал никаких иллюзий. Только в свободном, сознательном и творческом движении каждого человека к идеалу добра возможно, по Достоевскому, обретение подлинного, действительного счастья.</w:t>
      </w:r>
    </w:p>
    <w:p w14:paraId="64F7E7EA" w14:textId="7501C2B5" w:rsidR="00AF4AC5" w:rsidRDefault="00AF4AC5">
      <w:pPr>
        <w:rPr>
          <w:rFonts w:ascii="Tahoma" w:hAnsi="Tahoma" w:cs="Tahoma"/>
          <w:color w:val="000000"/>
          <w:shd w:val="clear" w:color="auto" w:fill="FFF3D9"/>
        </w:rPr>
      </w:pPr>
      <w:r>
        <w:rPr>
          <w:rFonts w:ascii="Tahoma" w:hAnsi="Tahoma" w:cs="Tahoma"/>
          <w:color w:val="000000"/>
          <w:shd w:val="clear" w:color="auto" w:fill="FFF3D9"/>
          <w:lang w:val="en-US"/>
        </w:rPr>
        <w:t>____________________________2</w:t>
      </w:r>
    </w:p>
    <w:p w14:paraId="30CEB3E1" w14:textId="0ACB8F38" w:rsidR="00675D3B" w:rsidRPr="00675D3B" w:rsidRDefault="00675D3B" w:rsidP="00675D3B">
      <w:pPr>
        <w:numPr>
          <w:ilvl w:val="0"/>
          <w:numId w:val="1"/>
        </w:numPr>
      </w:pPr>
      <w:r w:rsidRPr="00675D3B">
        <w:t>- «</w:t>
      </w:r>
      <w:proofErr w:type="spellStart"/>
      <w:r w:rsidRPr="00675D3B">
        <w:t>Филосо́фский</w:t>
      </w:r>
      <w:proofErr w:type="spellEnd"/>
      <w:r w:rsidRPr="00675D3B">
        <w:t xml:space="preserve"> </w:t>
      </w:r>
      <w:proofErr w:type="spellStart"/>
      <w:r w:rsidRPr="00675D3B">
        <w:t>парохо́д</w:t>
      </w:r>
      <w:proofErr w:type="spellEnd"/>
      <w:r w:rsidRPr="00675D3B">
        <w:t>» — собирательное название не менее пяти рейсов пассажирских судов, включая «</w:t>
      </w:r>
      <w:proofErr w:type="spellStart"/>
      <w:r w:rsidRPr="00675D3B">
        <w:t>Oberbürgermeister</w:t>
      </w:r>
      <w:proofErr w:type="spellEnd"/>
      <w:r w:rsidRPr="00675D3B">
        <w:t xml:space="preserve"> </w:t>
      </w:r>
      <w:proofErr w:type="spellStart"/>
      <w:r w:rsidRPr="00675D3B">
        <w:t>Haken</w:t>
      </w:r>
      <w:proofErr w:type="spellEnd"/>
      <w:r w:rsidRPr="00675D3B">
        <w:t>» (29—30 сентября 1922 года) и «</w:t>
      </w:r>
      <w:proofErr w:type="spellStart"/>
      <w:r w:rsidRPr="00675D3B">
        <w:t>Preussen</w:t>
      </w:r>
      <w:proofErr w:type="spellEnd"/>
      <w:r w:rsidRPr="00675D3B">
        <w:t>» (16—17 ноября 1922 года)[1], доставивших из Петрограда в </w:t>
      </w:r>
      <w:proofErr w:type="spellStart"/>
      <w:r w:rsidRPr="00675D3B">
        <w:t>Штеттин</w:t>
      </w:r>
      <w:proofErr w:type="spellEnd"/>
      <w:r w:rsidRPr="00675D3B">
        <w:t> (Германия) 81 высланного из Советской России оппозиционного представителя интеллигенции, в том числе философов</w:t>
      </w:r>
      <w:r w:rsidRPr="00675D3B"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Вместе с членами семьи общее число высланных из страны составляет, по разным данным, 228 или 272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человека</w:t>
      </w:r>
      <w:r w:rsidRPr="00675D3B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</w:t>
      </w:r>
      <w:proofErr w:type="gramEnd"/>
      <w:r w:rsidRPr="00675D3B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3]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BE7C3D" w14:textId="6D0BD3B9" w:rsidR="00675D3B" w:rsidRPr="00675D3B" w:rsidRDefault="00675D3B" w:rsidP="00675D3B">
      <w:pPr>
        <w:pStyle w:val="a6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Термин «Философский пароход» придумал доктор физико-математических наук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С. С. </w:t>
      </w:r>
      <w:proofErr w:type="spellStart"/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Хоружий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опубликовавший в двух номерах «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Литературной газеты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в 1990 году статью с таким названием.</w:t>
      </w:r>
    </w:p>
    <w:p w14:paraId="24B0F579" w14:textId="41586925" w:rsidR="00675D3B" w:rsidRPr="00675D3B" w:rsidRDefault="00675D3B" w:rsidP="00675D3B">
      <w:pPr>
        <w:pStyle w:val="a6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Операция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советских властей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 высылке из страны известных деятелей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науки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культуры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была проведена по инициативе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В. И. Ленина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1922—1923 годах в рамках борьбы с </w:t>
      </w:r>
      <w:proofErr w:type="gramStart"/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инакомыслием</w:t>
      </w:r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[</w:t>
      </w:r>
      <w:proofErr w:type="gramEnd"/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4]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Пароходные рейсы из Петрограда были не единственными: высылки осуществлялись также на пароходах из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Одессы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Севастополя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поездами из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Москвы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Латвию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Германию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Билеты на пароходы оплачивались советским правительством, тогда как на поезда выезжающие приобретали их </w:t>
      </w:r>
      <w:proofErr w:type="gram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сами</w:t>
      </w:r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[</w:t>
      </w:r>
      <w:proofErr w:type="gramEnd"/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2]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5F9784E6" w14:textId="4A50EC58" w:rsidR="00675D3B" w:rsidRDefault="00675D3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 воспоминаниям Фёдора Степуна, одного из пассажиров «философских пароходов», всем «высылаемым разрешалось взять: одно зимнее и одно летнее пальто, один костюм, по две штуки всякого белья, две денные рубашки, две ночные, две пары кальсон, две пары чулок. Золотые вещи, драгоценные камни, за исключением венчальных колец, были к вывозу запрещены; даже и нательные кресты надо было снимать с шеи. Кроме вещей разрешалось, впрочем, взять небольшое количество валюты, если не ошибаюсь, по 20 долларов на человека; но откуда её взять, когда за хранение её полагалась тюрьма, а в отдельных случаях даже и смертная казнь»</w:t>
      </w:r>
    </w:p>
    <w:p w14:paraId="288ADADE" w14:textId="77777777" w:rsidR="00675D3B" w:rsidRP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Идеологические расхождения с советской властью и её неприятие побудили многих представителей русской культуры начала ХХ века покинуть родину, и это происходило уже с 1917 года.</w:t>
      </w:r>
    </w:p>
    <w:p w14:paraId="71FB3895" w14:textId="10C4025C" w:rsidR="00675D3B" w:rsidRP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1917 году выехал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С. В. Рахманинов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1918-м —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С. С. Прокофьев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1919-м —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В. В. Набоков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1920-м —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И. А. Бунин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И. С. Соколов-Микитов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З. Н. Гиппиус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Д. С. Мережковский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К. Д. Бальмонт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1921-м —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Н. К. </w:t>
      </w:r>
      <w:proofErr w:type="spellStart"/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Метнер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А. Белый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А. М. Ремизов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Б. К. Зайцев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И. Г. Эренбург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В. В. Кандинский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начале—середине 1922-го —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Ф. И. Шаляпин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М. И. Цветаева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В. Б. Шкловский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Н. Н. Берберова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r w:rsidRPr="00675D3B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В. Ф. Ходасевич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… Некоторые из них не вернулись из </w:t>
      </w:r>
      <w:proofErr w:type="gram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эмиграции</w:t>
      </w:r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[</w:t>
      </w:r>
      <w:proofErr w:type="gramEnd"/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3]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DB6A656" w14:textId="7B277818" w:rsid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Обсуждая причины высылки интеллигенции в 1922 году, когда Гражданская война уже закончилась, С. С. </w:t>
      </w:r>
      <w:proofErr w:type="spell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Хоружий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указал, что при видимом распространении свобод при НЭПе советская власть начала сосредоточивать идеологические рычаги в своих руках и вела дело к идеологической диктатуре, инициатором которой был В. И. Ленин</w:t>
      </w:r>
      <w:r w:rsidRPr="00675D3B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  <w:lang w:eastAsia="ru-RU"/>
        </w:rPr>
        <w:t>[7]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618F3CB" w14:textId="77777777" w:rsidR="00675D3B" w:rsidRP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третьем номере журнала «</w:t>
      </w:r>
      <w:hyperlink r:id="rId5" w:tooltip="Под знаменем марксизма" w:history="1">
        <w:r w:rsidRPr="00675D3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Под знаменем марксизма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 за 1922 год вышла статья Ленина «</w:t>
      </w:r>
      <w:hyperlink r:id="rId6" w:tooltip="О значении воинствующего материализма (страница отсутствует)" w:history="1">
        <w:r w:rsidRPr="00675D3B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ru-RU"/>
          </w:rPr>
          <w:t>О значении воинствующего материализма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которая ознаменовала начало борьбы с идеологическим ревизионизмом, считает кандидат философских наук </w:t>
      </w:r>
      <w:hyperlink r:id="rId7" w:tooltip="Козырев, Алексей Павлович" w:history="1">
        <w:r w:rsidRPr="00675D3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А. П. Козырев</w:t>
        </w:r>
      </w:hyperlink>
      <w:hyperlink r:id="rId8" w:anchor="cite_note-:2-7" w:history="1">
        <w:r w:rsidRPr="00675D3B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В ней Ленин указал на «связь между классовыми интересами и классовой позицией буржуазии, </w:t>
      </w:r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 xml:space="preserve">поддержкой ею всяческих форм религий и идейным содержанием модных философских направлений», которую не всегда видят материалисты из </w:t>
      </w:r>
      <w:proofErr w:type="spell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некоммунистов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которым кажется, что философская борьба ведется лишь ради достижения абстрактной истины, тогда как на деле следует не только опровергать ошибочные философские теорий, но и разоблачать врагов материализма. Он подчеркнул, что столкновение философских взглядов есть вместе с тем форма классовой борьбы</w:t>
      </w:r>
      <w:hyperlink r:id="rId9" w:anchor="cite_note-8" w:history="1">
        <w:r w:rsidRPr="00675D3B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[8]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64D80E5" w14:textId="77777777" w:rsidR="00675D3B" w:rsidRP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0" w:tooltip="Дмитриева, Нина Анатольевна (страница отсутствует)" w:history="1">
        <w:r w:rsidRPr="00675D3B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ru-RU"/>
          </w:rPr>
          <w:t>Н. А. Дмитриева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предлагает видеть истоки событий в более раннем периоде: в 1921 году советская власть предприняла первую попытку сотрудничества с широкой общественностью для преодоления </w:t>
      </w:r>
      <w:hyperlink r:id="rId11" w:tooltip="Голод в Поволжье (1921—1922)" w:history="1">
        <w:r w:rsidRPr="00675D3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голода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при организации </w:t>
      </w:r>
      <w:hyperlink r:id="rId12" w:tooltip="Помгол" w:history="1">
        <w:r w:rsidRPr="00675D3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Комитета помощи голодающим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— </w:t>
      </w:r>
      <w:proofErr w:type="spell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Помгола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«Большевиков смутило то, что вместо помощи голодающим на местах члены комитета стали активно устанавливать связи с заграницей и собираться туда в качестве миссионеров для проведения переговоров о поставке продовольствия, к чему советская власть не была готова, — указывает учёный. — Эмигрантская пресса освещала эти события превратным образом. В частности, белоэмигрантская газета „</w:t>
      </w:r>
      <w:hyperlink r:id="rId13" w:tooltip="Общее дело (русская эмигрантская газета) (страница отсутствует)" w:history="1">
        <w:r w:rsidRPr="00675D3B">
          <w:rPr>
            <w:rFonts w:ascii="Arial" w:eastAsia="Times New Roman" w:hAnsi="Arial" w:cs="Arial"/>
            <w:color w:val="BA0000"/>
            <w:sz w:val="21"/>
            <w:szCs w:val="21"/>
            <w:u w:val="single"/>
            <w:lang w:eastAsia="ru-RU"/>
          </w:rPr>
          <w:t>Общее дело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“ писала, что на местах отряды </w:t>
      </w:r>
      <w:proofErr w:type="spell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Помгола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захватывают власть, поскольку Советы не справляются с проблемами». На деле никаких отрядов у </w:t>
      </w:r>
      <w:proofErr w:type="spellStart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Помгола</w:t>
      </w:r>
      <w:proofErr w:type="spellEnd"/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не существовало в принципе и именно советская власть и работала на местах, так что стратегии власти и общественников в борьбе с голодом не совпали</w:t>
      </w:r>
      <w:hyperlink r:id="rId14" w:anchor="cite_note-:2-7" w:history="1">
        <w:r w:rsidRPr="00675D3B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675D3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34372336" w14:textId="77777777" w:rsidR="00675D3B" w:rsidRPr="00675D3B" w:rsidRDefault="00675D3B" w:rsidP="00675D3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548C283B" w14:textId="77777777" w:rsidR="00675D3B" w:rsidRPr="00675D3B" w:rsidRDefault="00675D3B" w:rsidP="00675D3B">
      <w:pPr>
        <w:numPr>
          <w:ilvl w:val="0"/>
          <w:numId w:val="2"/>
        </w:numPr>
        <w:tabs>
          <w:tab w:val="left" w:pos="720"/>
        </w:tabs>
      </w:pPr>
      <w:r w:rsidRPr="00675D3B">
        <w:t>Л. Д. Троцкий в интервью американской журналистке Стронг назвал эту акцию "гуманизмом по-большевистски": «Мы этих людей выслали потому, что расстрелять их не было повода, а терпеть было невозможно»</w:t>
      </w:r>
    </w:p>
    <w:p w14:paraId="1D87C3F0" w14:textId="77777777" w:rsidR="00675D3B" w:rsidRPr="00675D3B" w:rsidRDefault="00675D3B"/>
    <w:sectPr w:rsidR="00675D3B" w:rsidRPr="0067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1CF0"/>
    <w:multiLevelType w:val="hybridMultilevel"/>
    <w:tmpl w:val="D80E39D0"/>
    <w:lvl w:ilvl="0" w:tplc="40428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84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7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48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C7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4F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68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AE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A8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211B36"/>
    <w:multiLevelType w:val="hybridMultilevel"/>
    <w:tmpl w:val="40A09898"/>
    <w:lvl w:ilvl="0" w:tplc="8D440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28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8A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9E4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EA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8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2E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CD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15"/>
    <w:rsid w:val="004D2D15"/>
    <w:rsid w:val="00675D3B"/>
    <w:rsid w:val="00A752BD"/>
    <w:rsid w:val="00AF4AC5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F88C"/>
  <w15:chartTrackingRefBased/>
  <w15:docId w15:val="{95A01089-848C-4040-BAE9-DD254EC3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4A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75D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7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18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B%D0%BE%D1%81%D0%BE%D1%84%D1%81%D0%BA%D0%B8%D0%B9_%D0%BF%D0%B0%D1%80%D0%BE%D1%85%D0%BE%D0%B4" TargetMode="External"/><Relationship Id="rId13" Type="http://schemas.openxmlformats.org/officeDocument/2006/relationships/hyperlink" Target="https://ru.wikipedia.org/w/index.php?title=%D0%9E%D0%B1%D1%89%D0%B5%D0%B5_%D0%B4%D0%B5%D0%BB%D0%BE_(%D1%80%D1%83%D1%81%D1%81%D0%BA%D0%B0%D1%8F_%D1%8D%D0%BC%D0%B8%D0%B3%D1%80%D0%B0%D0%BD%D1%82%D1%81%D0%BA%D0%B0%D1%8F_%D0%B3%D0%B0%D0%B7%D0%B5%D1%82%D0%B0)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7%D1%8B%D1%80%D0%B5%D0%B2,_%D0%90%D0%BB%D0%B5%D0%BA%D1%81%D0%B5%D0%B9_%D0%9F%D0%B0%D0%B2%D0%BB%D0%BE%D0%B2%D0%B8%D1%87" TargetMode="External"/><Relationship Id="rId12" Type="http://schemas.openxmlformats.org/officeDocument/2006/relationships/hyperlink" Target="https://ru.wikipedia.org/wiki/%D0%9F%D0%BE%D0%BC%D0%B3%D0%BE%D0%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E_%D0%B7%D0%BD%D0%B0%D1%87%D0%B5%D0%BD%D0%B8%D0%B8_%D0%B2%D0%BE%D0%B8%D0%BD%D1%81%D1%82%D0%B2%D1%83%D1%8E%D1%89%D0%B5%D0%B3%D0%BE_%D0%BC%D0%B0%D1%82%D0%B5%D1%80%D0%B8%D0%B0%D0%BB%D0%B8%D0%B7%D0%BC%D0%B0&amp;action=edit&amp;redlink=1" TargetMode="External"/><Relationship Id="rId11" Type="http://schemas.openxmlformats.org/officeDocument/2006/relationships/hyperlink" Target="https://ru.wikipedia.org/wiki/%D0%93%D0%BE%D0%BB%D0%BE%D0%B4_%D0%B2_%D0%9F%D0%BE%D0%B2%D0%BE%D0%BB%D0%B6%D1%8C%D0%B5_(1921%E2%80%941922)" TargetMode="External"/><Relationship Id="rId5" Type="http://schemas.openxmlformats.org/officeDocument/2006/relationships/hyperlink" Target="https://ru.wikipedia.org/wiki/%D0%9F%D0%BE%D0%B4_%D0%B7%D0%BD%D0%B0%D0%BC%D0%B5%D0%BD%D0%B5%D0%BC_%D0%BC%D0%B0%D1%80%D0%BA%D1%81%D0%B8%D0%B7%D0%BC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/index.php?title=%D0%94%D0%BC%D0%B8%D1%82%D1%80%D0%B8%D0%B5%D0%B2%D0%B0,_%D0%9D%D0%B8%D0%BD%D0%B0_%D0%90%D0%BD%D0%B0%D1%82%D0%BE%D0%BB%D1%8C%D0%B5%D0%B2%D0%BD%D0%B0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B%D0%BE%D1%81%D0%BE%D1%84%D1%81%D0%BA%D0%B8%D0%B9_%D0%BF%D0%B0%D1%80%D0%BE%D1%85%D0%BE%D0%B4" TargetMode="External"/><Relationship Id="rId14" Type="http://schemas.openxmlformats.org/officeDocument/2006/relationships/hyperlink" Target="https://ru.wikipedia.org/wiki/%D0%A4%D0%B8%D0%BB%D0%BE%D1%81%D0%BE%D1%84%D1%81%D0%BA%D0%B8%D0%B9_%D0%BF%D0%B0%D1%80%D0%BE%D1%85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2021-05-25T20:56:00Z</dcterms:created>
  <dcterms:modified xsi:type="dcterms:W3CDTF">2021-05-25T21:27:00Z</dcterms:modified>
</cp:coreProperties>
</file>