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 w:lineRule="auto" w:line="264"/>
        <w:jc w:val="center"/>
      </w:pPr>
      <w:r>
        <w:rPr>
          <w:rFonts w:ascii="Arial" w:hAnsi="Arial"/>
          <w:b/>
          <w:color w:val="000000"/>
          <w:sz w:val="32"/>
        </w:rPr>
        <w:t>GoSource Product Requirements Document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 xml:space="preserve">Author: </w:t>
      </w:r>
      <w:r>
        <w:rPr>
          <w:rFonts w:ascii="Arial" w:hAnsi="Arial"/>
          <w:b w:val="0"/>
          <w:color w:val="1F1F1F"/>
          <w:sz w:val="20"/>
        </w:rPr>
        <w:t>Chris Anyikamadu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 xml:space="preserve">Status: </w:t>
      </w:r>
      <w:r>
        <w:rPr>
          <w:rFonts w:ascii="Arial" w:hAnsi="Arial"/>
          <w:b w:val="0"/>
          <w:color w:val="1F1F1F"/>
          <w:sz w:val="20"/>
        </w:rPr>
        <w:t>Draft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 xml:space="preserve">Version: </w:t>
      </w:r>
      <w:r>
        <w:rPr>
          <w:rFonts w:ascii="Arial" w:hAnsi="Arial"/>
          <w:b w:val="0"/>
          <w:color w:val="1F1F1F"/>
          <w:sz w:val="20"/>
        </w:rPr>
        <w:t>1.2 (Condensed)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 xml:space="preserve">Date: </w:t>
      </w:r>
      <w:r>
        <w:rPr>
          <w:rFonts w:ascii="Arial" w:hAnsi="Arial"/>
          <w:b w:val="0"/>
          <w:color w:val="1F1F1F"/>
          <w:sz w:val="20"/>
        </w:rPr>
        <w:t>May 2026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 xml:space="preserve">Reviewers: </w:t>
      </w:r>
      <w:r>
        <w:rPr>
          <w:rFonts w:ascii="Arial" w:hAnsi="Arial"/>
          <w:b w:val="0"/>
          <w:color w:val="1F1F1F"/>
          <w:sz w:val="20"/>
        </w:rPr>
        <w:t>Lanre Bello, Essien Ekanem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 xml:space="preserve">Product Type: </w:t>
      </w:r>
      <w:r>
        <w:rPr>
          <w:rFonts w:ascii="Arial" w:hAnsi="Arial"/>
          <w:b w:val="0"/>
          <w:color w:val="1F1F1F"/>
          <w:sz w:val="20"/>
        </w:rPr>
        <w:t>B2B procurement and working-capital platform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 xml:space="preserve">Primary Surfaces: </w:t>
      </w:r>
      <w:r>
        <w:rPr>
          <w:rFonts w:ascii="Arial" w:hAnsi="Arial"/>
          <w:b w:val="0"/>
          <w:color w:val="1F1F1F"/>
          <w:sz w:val="20"/>
        </w:rPr>
        <w:t>Customer Web App, Admin Web App, Public API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1. Executive Summary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>GoSource is a procurement and working-capital platform for SMBs. The MVP focuses on controlled purchasing: product discovery, procurement requests, approvals, payment, fulfillment, and traceable repayment.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>The product is designed for multi-branch businesses where the main problem is not discovery alone, but governance, purchasing control, and financial visibility.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2. Problem Statement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Procurement is often managed through WhatsApp, spreadsheets, phone calls, and paper invoices.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Owners lack visibility into branch-level spend and staff purchasing.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Approval and payment workflows are slow, fragmented, and hard to audit.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Credit decisions are usually disconnected from real procurement behavior.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3. Product Goals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>The MVP should prove that GoSource can improve procurement speed, control, and payment reliability within the first 6 months after launch.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Operational Goals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Reduce offline procurement coordination to at least 70% platform-based processing.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Complete procurement checkout in under 5 minutes.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Reduce approval turnaround time to under 30 minutes for participating businesses.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Business Goals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Achieve repeat order rate above 40%.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Achieve onboarding completion rate above 65%.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Achieve wallet-funded checkout adoption above 50% of completed orders.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Financial Goals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Maintain payment reconciliation accuracy above 99%.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Maintain duplicate financial transaction rate at 0%.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Achieve repayment completion rate above 85% for eligible trade-credit users.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Platform Goals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Ensure successful order completion rate exceeds 95%.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Keep inventory synchronization accuracy above 98%.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Maintain API uptime target of 99.9%.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4. MVP Scope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In Scope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Customer onboarding and authentication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Product browsing, search, and reorder flows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Cart, checkout, and payment methods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Approval-based purchasing for branch teams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Order tracking and receipts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Wallet and basic credit workflows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Admin operations for inventory, orders, customers, and credit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Out of Scope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Advanced supplier tooling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Detailed system architecture in the main body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Detailed data model documentation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Long-term strategy and roadmap expansion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Highly specific platform engineering standards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5. Core User Journeys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Discover products and add them to a cart.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Review checkout and either submit directly or route for approval.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Pay through wallet or supported payment rails.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Track fulfillment and review order history.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Reorder from history or lists when needed.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Use wallet or credit again based on business policy.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6. Functional Requirements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Customer Web App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Onboarding and Authentication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Business registration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Login/logout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Password reset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OTP or verification flow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Invite-based member onboarding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Branch creation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Profile completion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Discovery and Checkout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Category browsing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Search and filters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Product details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Cart updates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Coupon application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Payment method selection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Delivery instructions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Orders, Wallet, and Credit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Order list and order detail view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Timeline and receipt download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Wallet balance and funding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Credit eligibility and repayment views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Reorder from history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Branch and member management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Admin Web App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Operations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Dashboard KPI overview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Order management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Inventory and catalog updates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Customer/business lookup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Credit review and monitoring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Support and exception handling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Approval and Permissions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Owner, manager, employee, and admin role separation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Branch-scoped permissions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Approval thresholds by value or policy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Explicit approval rights only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7. Non-Functional Requirements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Security: secure auth, RBAC, encrypted sensitive data, webhook verification, and auditability.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Reliability: idempotent payment and credit flows, safe retries, and clear failure handling.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Performance: fast catalog browsing, responsive admin tables, and low-latency transactional APIs.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Maintainability: clear domain separation, reusable UI patterns, well-defined APIs, and testable business logic.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8. Success Metrics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Commercial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Monthly active businesses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Repeat purchase rate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Average order value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Checkout conversion rate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Wallet funding rate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Financial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Credit request volume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Credit approval rate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Repayment completion rate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Overdue rate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Default rate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Operational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Order completion rate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Support resolution time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Inventory discrepancy rate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Stock update latency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Product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Onboarding completion rate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Reorder frequency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Branch adoption rate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List usage rate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Request approval completion rate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9. Risks and Assumptions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Risks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Users may continue offline procurement habits.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Approval flows may create friction if overly complex.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Onboarding complexity may reduce activation.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Payment or webhook delays may affect reconciliation.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Assumptions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Businesses need branch-aware procurement control.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Operational behavior can support better credit decisions.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The API remains the system of record for financial state.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Appendix A. Technical Notes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Financial Integrity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Ledger-driven financial events only.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Wallet balances, repayments, disbursements, refunds, reversals, and procurement payments must be traceable.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No balance should change without a corresponding record.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Event Model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Important business actions should emit events for notifications, analytics, accounting, reconciliation, automation, reporting, fraud detection, and credit scoring.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Example events: request.approved, order.created, wallet.credited, repayment.made, inventory.updated.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Failure and Recovery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Payment retries must not duplicate effects.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Delayed webhooks must reconcile safely.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Checkout, credit, and inventory failures must be recoverable.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Inventory changes must be recorded as movements.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Data Model Summary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Business, Branch, Member, Request, Order, Wallet, WalletTransaction, CreditApplication, CreditAccount, RepaymentSchedule, and Product are the core entities.</w:t>
      </w:r>
    </w:p>
    <w:p>
      <w:pPr>
        <w:pStyle w:val="Heading1"/>
        <w:spacing w:before="200" w:after="80" w:lineRule="auto" w:line="264"/>
        <w:jc w:val="left"/>
      </w:pPr>
      <w:r>
        <w:rPr>
          <w:rFonts w:ascii="Arial" w:hAnsi="Arial"/>
          <w:b/>
          <w:color w:val="2E74B5"/>
          <w:sz w:val="28"/>
        </w:rPr>
        <w:t>Appendix B. Strategy Notes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Market Opportunity</w:t>
      </w:r>
    </w:p>
    <w:p>
      <w:pPr>
        <w:spacing w:before="0" w:after="80" w:lineRule="auto" w:line="264"/>
        <w:jc w:val="left"/>
      </w:pPr>
      <w:r>
        <w:rPr>
          <w:rFonts w:ascii="Arial" w:hAnsi="Arial"/>
          <w:b w:val="0"/>
          <w:color w:val="1F1F1F"/>
          <w:sz w:val="20"/>
        </w:rPr>
        <w:t>The wedge is controlled procurement for multi-branch SMBs, not generic e-commerce.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Competitive Positioning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Enterprise procurement is too heavy for SMBs.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Generic commerce does not solve approval control or branch governance.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Lending-first platforms do not treat procurement behavior as the system of record.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Differentiation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Employee request to owner approval workflows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Branch budgets and thresholds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Wallet plus credit loop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Behavior-based credit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Supplier tooling later, not in MVP</w:t>
      </w:r>
    </w:p>
    <w:p>
      <w:pPr>
        <w:pStyle w:val="Heading2"/>
        <w:spacing w:before="160" w:after="60" w:lineRule="auto" w:line="264"/>
        <w:jc w:val="left"/>
      </w:pPr>
      <w:r>
        <w:rPr>
          <w:rFonts w:ascii="Arial" w:hAnsi="Arial"/>
          <w:b w:val="0"/>
          <w:color w:val="2E74B5"/>
          <w:sz w:val="23"/>
        </w:rPr>
        <w:t>Future Enhancements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Supplier portal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Dynamic credit scoring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Order anomaly detection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WhatsApp/SMS automation</w:t>
      </w:r>
    </w:p>
    <w:p>
      <w:pPr>
        <w:numPr>
          <w:ilvl w:val="0"/>
          <w:numId w:val="9"/>
        </w:numPr>
        <w:spacing w:before="0" w:after="40" w:lineRule="auto" w:line="264"/>
        <w:ind w:left="500" w:hanging="280"/>
        <w:jc w:val="left"/>
      </w:pPr>
      <w:r>
        <w:rPr>
          <w:rFonts w:ascii="Arial" w:hAnsi="Arial"/>
          <w:b w:val="0"/>
          <w:color w:val="1F1F1F"/>
          <w:sz w:val="20"/>
        </w:rPr>
        <w:t>Offline-tolerant mobile experience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