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sz w:val="36"/>
        </w:rPr>
        <w:t>Chris Stefan</w:t>
      </w:r>
    </w:p>
    <w:p>
      <w:pPr>
        <w:jc w:val="center"/>
      </w:pPr>
      <w:r>
        <w:rPr>
          <w:rFonts w:ascii="Inter" w:hAnsi="Inter"/>
          <w:sz w:val="20"/>
        </w:rPr>
        <w:t>Senior AI Engineer  |  Production Agentic AI  |  Remote-Ready  |  Open to Full-Time, Contract &amp; Consulting</w:t>
      </w:r>
    </w:p>
    <w:p/>
    <w:p>
      <w:pPr>
        <w:spacing w:after="80"/>
      </w:pPr>
      <w:r>
        <w:rPr>
          <w:rFonts w:ascii="Inter" w:hAnsi="Inter"/>
          <w:sz w:val="18"/>
        </w:rPr>
        <w:t>chris.stefan@proton.me</w:t>
      </w:r>
    </w:p>
    <w:p>
      <w:pPr>
        <w:spacing w:after="80"/>
      </w:pPr>
      <w:r>
        <w:rPr>
          <w:rFonts w:ascii="Inter" w:hAnsi="Inter"/>
          <w:sz w:val="18"/>
        </w:rPr>
        <w:t>+1 514.710.9601</w:t>
      </w:r>
    </w:p>
    <w:p>
      <w:pPr>
        <w:spacing w:after="80"/>
      </w:pPr>
      <w:r>
        <w:rPr>
          <w:rFonts w:ascii="Inter" w:hAnsi="Inter"/>
          <w:sz w:val="18"/>
        </w:rPr>
        <w:t>linkedin.com/in/chris-stefan</w:t>
      </w:r>
    </w:p>
    <w:p>
      <w:pPr>
        <w:spacing w:after="80"/>
      </w:pPr>
      <w:r>
        <w:rPr>
          <w:rFonts w:ascii="Inter" w:hAnsi="Inter"/>
          <w:sz w:val="18"/>
        </w:rPr>
        <w:t>github.com/chrizefan</w:t>
      </w:r>
    </w:p>
    <w:p>
      <w:pPr>
        <w:spacing w:after="80"/>
      </w:pPr>
      <w:r>
        <w:rPr>
          <w:rFonts w:ascii="Inter" w:hAnsi="Inter"/>
          <w:sz w:val="18"/>
        </w:rPr>
        <w:t>chrizefan.github.io/me</w:t>
      </w:r>
    </w:p>
    <w:p>
      <w:pPr>
        <w:spacing w:after="80"/>
      </w:pPr>
      <w:r>
        <w:rPr>
          <w:rFonts w:ascii="Inter" w:hAnsi="Inter"/>
          <w:sz w:val="18"/>
        </w:rPr>
        <w:t>EU Citizen · Relocating to Europe</w:t>
      </w:r>
    </w:p>
    <w:p/>
    <w:p>
      <w:pPr>
        <w:pStyle w:val="Heading2"/>
        <w:spacing w:after="120"/>
      </w:pPr>
      <w:r>
        <w:rPr>
          <w:rFonts w:ascii="Inter" w:hAnsi="Inter"/>
          <w:b/>
          <w:sz w:val="20"/>
        </w:rPr>
        <w:t>SUMMARY</w:t>
      </w:r>
    </w:p>
    <w:p>
      <w:pPr>
        <w:spacing w:after="240"/>
      </w:pPr>
      <w:r>
        <w:rPr>
          <w:rFonts w:ascii="Inter" w:hAnsi="Inter"/>
          <w:i/>
          <w:sz w:val="20"/>
        </w:rPr>
        <w:t>AI Engineer with 5 years building production AI at the intersection of artificial intelligence and institutional finance. Lead developer &amp; technical owner of PSP Investments' flagship agentic AI platform — 300 total users, 100 active &amp; recurring, platform showcased at the Databricks Data &amp; AI Summit. Full-stack ownership: architecture, SDK design, UI, onboarding, and stakeholder management across all asset classes. Seeking senior, lead, or consulting roles to build high-impact AI products.</w:t>
      </w:r>
    </w:p>
    <w:p>
      <w:pPr>
        <w:pStyle w:val="Heading2"/>
        <w:spacing w:after="120"/>
      </w:pPr>
      <w:r>
        <w:rPr>
          <w:rFonts w:ascii="Inter" w:hAnsi="Inter"/>
          <w:b/>
          <w:sz w:val="20"/>
        </w:rPr>
        <w:t>EXPERIENCE</w:t>
      </w:r>
    </w:p>
    <w:p>
      <w:pPr>
        <w:spacing w:after="40"/>
      </w:pPr>
      <w:r>
        <w:rPr>
          <w:rFonts w:ascii="Inter" w:hAnsi="Inter"/>
          <w:b/>
          <w:sz w:val="22"/>
        </w:rPr>
        <w:t>Senior AI Engineer, AlphaScience — PSP Investments</w:t>
      </w:r>
    </w:p>
    <w:p>
      <w:pPr>
        <w:spacing w:after="120"/>
      </w:pPr>
      <w:r>
        <w:rPr>
          <w:rFonts w:ascii="Inter" w:hAnsi="Inter"/>
          <w:sz w:val="18"/>
        </w:rPr>
        <w:t>Sep 2022 – Present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Sole engineer &amp; full-stack owner of PSP's agentic AI platform — from initial POC through system architecture, design documentation, UI/UX, feature development, SDK packaging &amp; distribution, PR reviews, and ongoing maintenance; 100+ active analysts in daily workflows, cutting research cycles ~10× and supporting 20–30% broader name coverage.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AlphaScience SDK: wraps Databricks (Vector Search, SQL Warehouses, Genie Agents) &amp; OpenAI (Responses + Files API), auto-auth via Databricks CLI &amp; Azure Key Vault — composable agent/workflow base-class framework, proprietary tracing, inter-agent persistence, pre-built financial utility agents &amp; skills; one-liner to spin up an agent or query a vector index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Virtual Analyst Platform: custom chatbot UI with step-level tracing &amp; observability (reasoning trace, web search, RAG retrieval, parallel tool execution, subagents), source traceability, structured data persistence layer with sandboxed analysis &amp; live plotting, long-running workflow launcher &amp; scheduled task subscriptions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Living roadmap: weekly-evolving priorities with rapid integration of bleeding-edge AI developments into production — each feature independently scoped, designed as an SDK tool, and surfaced through the platform from concept to deployment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Cost impact: in-house platform (~$1M/year all-in: data, infrastructure &amp; engineering) displaces enterprise tooling priced at ~$20K/analyst/year (e.g., AlphaSense: $1.2M/year for 60 licenses) — at 100+ active users, avoided spend exceeds platform cost and scales with every analyst onboarded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Leadership: platform selected for live demo at Databricks Data &amp; AI Summit; mentored interns to ship production features independently; led onboarding for 100+ analysts; direct collaboration with C-suite across all asset classes</w:t>
      </w:r>
    </w:p>
    <w:p>
      <w:pPr>
        <w:spacing w:after="200"/>
      </w:pPr>
      <w:r>
        <w:rPr>
          <w:rFonts w:ascii="Inter" w:hAnsi="Inter"/>
          <w:sz w:val="16"/>
        </w:rPr>
        <w:t>Agentic AI  RAG  Orchestration  Azure AI  Evals  Observability</w:t>
      </w:r>
    </w:p>
    <w:p>
      <w:pPr>
        <w:spacing w:after="40"/>
      </w:pPr>
      <w:r>
        <w:rPr>
          <w:rFonts w:ascii="Inter" w:hAnsi="Inter"/>
          <w:b/>
          <w:sz w:val="22"/>
        </w:rPr>
        <w:t>Analyst, Digital Innovation — PSP Investments</w:t>
      </w:r>
    </w:p>
    <w:p>
      <w:pPr>
        <w:spacing w:after="120"/>
      </w:pPr>
      <w:r>
        <w:rPr>
          <w:rFonts w:ascii="Inter" w:hAnsi="Inter"/>
          <w:sz w:val="18"/>
        </w:rPr>
        <w:t>Sep 2021 – Aug 2022 · Montreal, QC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Co-developed Earnings Prediction Engine (ML beat/miss pipeline, point-in-time data, Power BI) and quantitative equity strategy for $8B active portfolio (+125 bps/year); built alt-data pipeline with data profiling, cleaning &amp; feature engineering for equity factor research; delivered POC analyses to drive stakeholder buy-in across asset class teams</w:t>
      </w:r>
    </w:p>
    <w:p>
      <w:pPr>
        <w:spacing w:after="200"/>
      </w:pPr>
      <w:r>
        <w:rPr>
          <w:rFonts w:ascii="Inter" w:hAnsi="Inter"/>
          <w:sz w:val="16"/>
        </w:rPr>
        <w:t>Quant Strategy  Alt Data  ML Pipelines  Power BI  scikit-learn</w:t>
      </w:r>
    </w:p>
    <w:p>
      <w:pPr>
        <w:spacing w:after="40"/>
      </w:pPr>
      <w:r>
        <w:rPr>
          <w:rFonts w:ascii="Inter" w:hAnsi="Inter"/>
          <w:b/>
          <w:sz w:val="22"/>
        </w:rPr>
        <w:t>Intern, Information Security — PSP Investments</w:t>
      </w:r>
    </w:p>
    <w:p>
      <w:pPr>
        <w:spacing w:after="120"/>
      </w:pPr>
      <w:r>
        <w:rPr>
          <w:rFonts w:ascii="Inter" w:hAnsi="Inter"/>
          <w:sz w:val="18"/>
        </w:rPr>
        <w:t>May–Aug 2021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Enterprise risk framework implementation; automated risk assessment repository updates, improving data currency and reporting efficiency</w:t>
      </w:r>
    </w:p>
    <w:p>
      <w:pPr>
        <w:spacing w:after="200"/>
      </w:pPr>
      <w:r>
        <w:rPr>
          <w:rFonts w:ascii="Inter" w:hAnsi="Inter"/>
          <w:sz w:val="16"/>
        </w:rPr>
        <w:t>Cybersecurity  Risk Analysis</w:t>
      </w:r>
    </w:p>
    <w:p>
      <w:pPr>
        <w:spacing w:after="40"/>
      </w:pPr>
      <w:r>
        <w:rPr>
          <w:rFonts w:ascii="Inter" w:hAnsi="Inter"/>
          <w:b/>
          <w:sz w:val="22"/>
        </w:rPr>
        <w:t>Business Analyst — Lunch à Porter</w:t>
      </w:r>
    </w:p>
    <w:p>
      <w:pPr>
        <w:spacing w:after="120"/>
      </w:pPr>
      <w:r>
        <w:rPr>
          <w:rFonts w:ascii="Inter" w:hAnsi="Inter"/>
          <w:sz w:val="18"/>
        </w:rPr>
        <w:t>Jun 2020 – Jun 2021</w:t>
      </w:r>
    </w:p>
    <w:p>
      <w:pPr>
        <w:pStyle w:val="ListBullet"/>
        <w:spacing w:after="80"/>
      </w:pPr>
      <w:r>
        <w:rPr>
          <w:rFonts w:ascii="Inter" w:hAnsi="Inter"/>
          <w:sz w:val="18"/>
        </w:rPr>
        <w:t>SEO &amp; A/B testing drove 2× online conversion rate; inventory analysis for data-informed merchandising decisions</w:t>
      </w:r>
    </w:p>
    <w:p>
      <w:pPr>
        <w:spacing w:after="200"/>
      </w:pPr>
      <w:r>
        <w:rPr>
          <w:rFonts w:ascii="Inter" w:hAnsi="Inter"/>
          <w:sz w:val="16"/>
        </w:rPr>
        <w:t>SEO  A/B Testing  Shopify  Lightspeed  Analytics</w:t>
      </w:r>
    </w:p>
    <w:p>
      <w:pPr>
        <w:pStyle w:val="Heading2"/>
        <w:spacing w:after="120"/>
      </w:pPr>
      <w:r>
        <w:rPr>
          <w:rFonts w:ascii="Inter" w:hAnsi="Inter"/>
          <w:b/>
          <w:sz w:val="20"/>
        </w:rPr>
        <w:t>PERSONAL PROJECT</w:t>
      </w:r>
    </w:p>
    <w:p>
      <w:pPr>
        <w:spacing w:after="80"/>
      </w:pPr>
      <w:r>
        <w:rPr>
          <w:rFonts w:ascii="Inter" w:hAnsi="Inter"/>
          <w:b/>
          <w:sz w:val="20"/>
        </w:rPr>
        <w:t>digithings.ai · github.com/digithings-ai</w:t>
      </w:r>
    </w:p>
    <w:p>
      <w:pPr>
        <w:spacing w:after="80"/>
      </w:pPr>
      <w:r>
        <w:rPr>
          <w:rFonts w:ascii="Inter" w:hAnsi="Inter"/>
          <w:sz w:val="18"/>
        </w:rPr>
        <w:t>Fully modular multi-agent AI toolkit. LangGraph orchestration, LiteLLM universal LLM wrapper, pluggable RAG backends, built-in evals, Docker deployment, MCP &amp; Open WebUI integration, OpenClaw layer for autonomous agent deployment. Direction: "hedge fund in a box" — merging agentic AI with quantitative finance.</w:t>
      </w:r>
    </w:p>
    <w:p>
      <w:r>
        <w:rPr>
          <w:rFonts w:ascii="Inter" w:hAnsi="Inter"/>
          <w:sz w:val="16"/>
        </w:rPr>
        <w:t>LangGraph  LiteLLM  Docker  MCP  Open WebUI  Azure AI  Ollama  OpenClaw</w:t>
      </w:r>
    </w:p>
    <w:p/>
    <w:p>
      <w:pPr>
        <w:pStyle w:val="Heading2"/>
        <w:spacing w:after="120"/>
      </w:pPr>
      <w:r>
        <w:rPr>
          <w:rFonts w:ascii="Inter" w:hAnsi="Inter"/>
          <w:b/>
          <w:sz w:val="20"/>
        </w:rPr>
        <w:t>SKILLS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Gen AI &amp; LLMs: </w:t>
      </w:r>
      <w:r>
        <w:rPr>
          <w:rFonts w:ascii="Inter" w:hAnsi="Inter"/>
          <w:sz w:val="18"/>
        </w:rPr>
        <w:t>OpenAI API, Gemini API, Claude API, Hugging Face, Prompt Engineering, Vector DBs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Data &amp; Cloud: </w:t>
      </w:r>
      <w:r>
        <w:rPr>
          <w:rFonts w:ascii="Inter" w:hAnsi="Inter"/>
          <w:sz w:val="18"/>
        </w:rPr>
        <w:t>Azure, GCP, Databricks, Spark, Delta Lake, PostgreSQL, SQL, Supabase, MLOps, CI/CD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Programming: </w:t>
      </w:r>
      <w:r>
        <w:rPr>
          <w:rFonts w:ascii="Inter" w:hAnsi="Inter"/>
          <w:sz w:val="18"/>
        </w:rPr>
        <w:t>Python, JavaScript, HTML, CSS, FastAPI, Pydantic, REST APIs, SDK Design, Git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Visualization: </w:t>
      </w:r>
      <w:r>
        <w:rPr>
          <w:rFonts w:ascii="Inter" w:hAnsi="Inter"/>
          <w:sz w:val="18"/>
        </w:rPr>
        <w:t>Plotly, Dash, Matplotlib, ECharts, Mermaid, Tableau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AI Dev Tools: </w:t>
      </w:r>
      <w:r>
        <w:rPr>
          <w:rFonts w:ascii="Inter" w:hAnsi="Inter"/>
          <w:sz w:val="18"/>
        </w:rPr>
        <w:t>Cursor, Antigravity, GitHub Copilot, Claude Code, Bolt.new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Quant Trading: </w:t>
      </w:r>
      <w:r>
        <w:rPr>
          <w:rFonts w:ascii="Inter" w:hAnsi="Inter"/>
          <w:sz w:val="18"/>
        </w:rPr>
        <w:t>QuantConnect, IBKR API, Nautilus Trader, TA-Lib</w:t>
      </w:r>
    </w:p>
    <w:p>
      <w:pPr>
        <w:spacing w:after="80"/>
      </w:pPr>
      <w:r>
        <w:rPr>
          <w:rFonts w:ascii="Inter" w:hAnsi="Inter"/>
          <w:b/>
          <w:sz w:val="18"/>
        </w:rPr>
        <w:t xml:space="preserve">Data: </w:t>
      </w:r>
      <w:r>
        <w:rPr>
          <w:rFonts w:ascii="Inter" w:hAnsi="Inter"/>
          <w:sz w:val="18"/>
        </w:rPr>
        <w:t>LSEG, Worldscope, IBES, SEC Filings, Broker Research, Transcripts</w:t>
      </w:r>
    </w:p>
    <w:p/>
    <w:p>
      <w:pPr>
        <w:pStyle w:val="Heading2"/>
        <w:spacing w:after="120"/>
      </w:pPr>
      <w:r>
        <w:rPr>
          <w:rFonts w:ascii="Inter" w:hAnsi="Inter"/>
          <w:b/>
          <w:sz w:val="20"/>
        </w:rPr>
        <w:t>EDUCATION</w:t>
      </w:r>
    </w:p>
    <w:p>
      <w:pPr>
        <w:spacing w:after="120"/>
      </w:pPr>
      <w:r>
        <w:rPr>
          <w:rFonts w:ascii="Inter" w:hAnsi="Inter"/>
          <w:b/>
          <w:sz w:val="18"/>
        </w:rPr>
        <w:t>McGill University</w:t>
      </w:r>
      <w:r>
        <w:rPr>
          <w:rFonts w:ascii="Inter" w:hAnsi="Inter"/>
          <w:sz w:val="18"/>
        </w:rPr>
        <w:br/>
        <w:t>B.Com Finance &amp; Business Analytics</w:t>
        <w:br/>
        <w:t>Desautels · 2019–2022</w:t>
        <w:br/>
        <w:t>Montreal, QC</w:t>
      </w:r>
    </w:p>
    <w:p>
      <w:pPr>
        <w:spacing w:after="120"/>
      </w:pPr>
      <w:r>
        <w:rPr>
          <w:rFonts w:ascii="Inter" w:hAnsi="Inter"/>
          <w:b/>
          <w:sz w:val="18"/>
        </w:rPr>
        <w:t>Champlain College</w:t>
      </w:r>
      <w:r>
        <w:rPr>
          <w:rFonts w:ascii="Inter" w:hAnsi="Inter"/>
          <w:sz w:val="18"/>
        </w:rPr>
        <w:br/>
        <w:t>DEC Computer Science &amp; Mathematics</w:t>
        <w:br/>
        <w:t>2017–2019 · Honor Roll</w:t>
        <w:br/>
        <w:t>Montreal, QC</w:t>
      </w:r>
    </w:p>
    <w:p>
      <w:pPr>
        <w:pStyle w:val="Heading2"/>
        <w:spacing w:after="120"/>
      </w:pPr>
      <w:r>
        <w:rPr>
          <w:rFonts w:ascii="Inter" w:hAnsi="Inter"/>
          <w:b/>
          <w:sz w:val="20"/>
        </w:rPr>
        <w:t>CERTIFICATIONS</w:t>
      </w:r>
    </w:p>
    <w:p>
      <w:r>
        <w:rPr>
          <w:rFonts w:ascii="Inter" w:hAnsi="Inter"/>
          <w:b/>
          <w:sz w:val="18"/>
        </w:rPr>
        <w:t>Azure AI Fundamentals</w:t>
      </w:r>
      <w:r>
        <w:rPr>
          <w:rFonts w:ascii="Inter" w:hAnsi="Inter"/>
          <w:sz w:val="18"/>
        </w:rPr>
        <w:br/>
        <w:t>Microsoft · Sep 2023</w:t>
      </w:r>
    </w:p>
    <w:p/>
    <w:p>
      <w:pPr>
        <w:pStyle w:val="Heading2"/>
        <w:spacing w:after="120"/>
      </w:pPr>
      <w:r>
        <w:rPr>
          <w:rFonts w:ascii="Inter" w:hAnsi="Inter"/>
          <w:b/>
          <w:sz w:val="20"/>
        </w:rPr>
        <w:t>LANGUAGES</w:t>
      </w:r>
    </w:p>
    <w:p>
      <w:r>
        <w:rPr>
          <w:rFonts w:ascii="Inter" w:hAnsi="Inter"/>
          <w:sz w:val="18"/>
        </w:rPr>
        <w:t>English — Fluent</w:t>
        <w:br/>
        <w:t>French — Fluent</w:t>
        <w:br/>
        <w:t>Spanish — Basic</w:t>
        <w:br/>
        <w:t>Italian — Basic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