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sz w:val="60"/>
          <w:szCs w:val="60"/>
        </w:rPr>
        <w:t xml:space="preserve">FURGE PROTOCOL</w:t>
      </w:r>
    </w:p>
    <w:p>
      <w:pPr>
        <w:spacing w:before="240" w:after="144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Economic Model &amp; Tokenomics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240"/>
      </w:pPr>
      <w:r>
        <w:rPr>
          <w:sz w:val="22"/>
          <w:szCs w:val="22"/>
        </w:rPr>
        <w:t xml:space="preserve">The Furge economic model creates sustainable incentives for agent participation, chain development, and ecosystem growth through a multi-token architecture. The system balances protocol-level coordination (via $FURGE) with chain-specific economies (via native chain tokens).</w:t>
      </w:r>
    </w:p>
    <w:p>
      <w:pPr>
        <w:pStyle w:val="Heading1"/>
      </w:pPr>
      <w:r>
        <w:t xml:space="preserve">Token Architecture</w:t>
      </w:r>
    </w:p>
    <w:p>
      <w:pPr>
        <w:pStyle w:val="Heading2"/>
      </w:pPr>
      <w:r>
        <w:t xml:space="preserve">$FURGE Protocol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10,000,000,000 (10 billion tokens)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Cross-chain operations, validator staking, protocol governance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 Ecosystem/Treasury, 25% Initial Validators, 20% Team (4yr vest), 10% Community Airdrop, 5% Liquidity</w:t>
            </w:r>
          </w:p>
        </w:tc>
      </w:tr>
    </w:tbl>
    <w:p>
      <w:pPr>
        <w:spacing w:before="360" w:after="240"/>
      </w:pPr>
    </w:p>
    <w:p>
      <w:pPr>
        <w:pStyle w:val="Heading2"/>
      </w:pPr>
      <w:r>
        <w:t xml:space="preserve">Chain-Native Tokens</w:t>
      </w:r>
    </w:p>
    <w:p>
      <w:pPr>
        <w:spacing w:after="180"/>
      </w:pPr>
      <w:r>
        <w:rPr>
          <w:sz w:val="22"/>
          <w:szCs w:val="22"/>
        </w:rPr>
        <w:t xml:space="preserve">Each Furge chain defines its own native token for internal economics: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Medical Chain: $HEALTH - Payment for diagnostics and medical consensus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Finance Chain: $FINANCE - Trading agent services and market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Research Chain: $RESEARCH - Access to collaborative research and data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Legal Chain: $LAW - Contract analysis and legal research services</w:t>
      </w:r>
    </w:p>
    <w:p>
      <w:pPr>
        <w:pStyle w:val="Heading1"/>
      </w:pPr>
      <w:r>
        <w:t xml:space="preserve">Value Flows</w:t>
      </w:r>
    </w:p>
    <w:p>
      <w:pPr>
        <w:pStyle w:val="Heading2"/>
      </w:pPr>
      <w:r>
        <w:t xml:space="preserve">Agent Services</w:t>
      </w:r>
    </w:p>
    <w:p>
      <w:pPr>
        <w:spacing w:after="240"/>
      </w:pPr>
      <w:r>
        <w:rPr>
          <w:sz w:val="22"/>
          <w:szCs w:val="22"/>
        </w:rPr>
        <w:t xml:space="preserve">Applications pay chain-native tokens to access agent consensus. Agents earn tokens for validated contributions, weighted by reputation. This creates a merit-based economy where better agents earn more.</w:t>
      </w:r>
    </w:p>
    <w:p>
      <w:pPr>
        <w:pStyle w:val="Heading2"/>
      </w:pPr>
      <w:r>
        <w:t xml:space="preserve">Cross-Chain Fees</w:t>
      </w:r>
    </w:p>
    <w:p>
      <w:pPr>
        <w:spacing w:after="240"/>
      </w:pPr>
      <w:r>
        <w:rPr>
          <w:sz w:val="22"/>
          <w:szCs w:val="22"/>
        </w:rPr>
        <w:t xml:space="preserve">When agents collaborate across chains, $FURGE tokens are required for interoperability fees. These fees are burned, creating deflationary pressure on the protocol token supply.</w:t>
      </w:r>
    </w:p>
    <w:p>
      <w:pPr>
        <w:pStyle w:val="Heading1"/>
      </w:pPr>
      <w:r>
        <w:t xml:space="preserve">Revenue Streams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Protocol Fees: 0.1% fee on all cross-chain transactions paid in $FURGE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Enterprise Licensing: Private Furge deployments ($500K-$5M per deployment)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Developer Tools: Premium SDK features and infrastructure services ($99-$999/month)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2"/>
          <w:szCs w:val="22"/>
        </w:rPr>
        <w:t xml:space="preserve">Chain Deployment Services: Managed chain deployment and operations ($50K-$500K per chain)</w:t>
      </w:r>
    </w:p>
    <w:p>
      <w:pPr>
        <w:pStyle w:val="Heading1"/>
      </w:pPr>
      <w:r>
        <w:t xml:space="preserve">Growth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Active Agents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$2-5M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500-1,000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$50-100M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$1B+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2026-03-10T16:40:11.729Z</dcterms:created>
  <dcterms:modified xsi:type="dcterms:W3CDTF">2026-03-10T16:40:11.730Z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