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Display" w:hAnsi="Aptos Display"/>
          <w:b/>
          <w:color w:val="1F4E79"/>
          <w:sz w:val="48"/>
        </w:rPr>
        <w:t>Risk Assessment and Treatment Methodology</w:t>
      </w:r>
    </w:p>
    <w:p>
      <w:pPr>
        <w:spacing w:after="280"/>
      </w:pPr>
      <w:r>
        <w:rPr>
          <w:color w:val="5B6573"/>
          <w:sz w:val="24"/>
        </w:rPr>
        <w:t>Veltrixa ApS</w:t>
      </w:r>
    </w:p>
    <w:tbl>
      <w:tblPr>
        <w:tblStyle w:val="TableGrid"/>
        <w:tblW w:type="dxa" w:w="9792"/>
        <w:jc w:val="center"/>
        <w:tblLayout w:type="fixed"/>
        <w:tblLook w:firstColumn="1" w:firstRow="1" w:lastColumn="0" w:lastRow="0" w:noHBand="0" w:noVBand="1" w:val="04A0"/>
      </w:tblPr>
      <w:tblGrid>
        <w:gridCol w:w="2448"/>
        <w:gridCol w:w="2448"/>
        <w:gridCol w:w="2448"/>
        <w:gridCol w:w="2448"/>
      </w:tblGrid>
      <w:tr>
        <w:tc>
          <w:tcPr>
            <w:tcW w:type="dxa" w:w="1728"/>
            <w:shd w:fill="EAF0F6"/>
            <w:vAlign w:val="center"/>
            <w:tcMar>
              <w:top w:w="90" w:type="dxa"/>
              <w:start w:w="120" w:type="dxa"/>
              <w:bottom w:w="90" w:type="dxa"/>
              <w:end w:w="120" w:type="dxa"/>
            </w:tcMar>
          </w:tcPr>
          <w:p>
            <w:r>
              <w:rPr>
                <w:b/>
              </w:rPr>
              <w:t>Document ID</w:t>
            </w:r>
          </w:p>
        </w:tc>
        <w:tc>
          <w:tcPr>
            <w:tcW w:type="dxa" w:w="2952"/>
            <w:shd w:fill="FFFFFF"/>
            <w:vAlign w:val="center"/>
            <w:tcMar>
              <w:top w:w="90" w:type="dxa"/>
              <w:start w:w="120" w:type="dxa"/>
              <w:bottom w:w="90" w:type="dxa"/>
              <w:end w:w="120" w:type="dxa"/>
            </w:tcMar>
          </w:tcPr>
          <w:p>
            <w:r>
              <w:t>ISMS-RA-001</w:t>
            </w:r>
          </w:p>
        </w:tc>
        <w:tc>
          <w:tcPr>
            <w:tcW w:type="dxa" w:w="1728"/>
            <w:shd w:fill="EAF0F6"/>
            <w:vAlign w:val="center"/>
            <w:tcMar>
              <w:top w:w="90" w:type="dxa"/>
              <w:start w:w="120" w:type="dxa"/>
              <w:bottom w:w="90" w:type="dxa"/>
              <w:end w:w="120" w:type="dxa"/>
            </w:tcMar>
          </w:tcPr>
          <w:p>
            <w:r>
              <w:rPr>
                <w:b/>
              </w:rPr>
              <w:t>Version</w:t>
            </w:r>
          </w:p>
        </w:tc>
        <w:tc>
          <w:tcPr>
            <w:tcW w:type="dxa" w:w="3384"/>
            <w:shd w:fill="FFFFFF"/>
            <w:vAlign w:val="center"/>
            <w:tcMar>
              <w:top w:w="90" w:type="dxa"/>
              <w:start w:w="120" w:type="dxa"/>
              <w:bottom w:w="90" w:type="dxa"/>
              <w:end w:w="120" w:type="dxa"/>
            </w:tcMar>
          </w:tcPr>
          <w:p>
            <w:r>
              <w:t>1.0</w:t>
            </w:r>
          </w:p>
        </w:tc>
      </w:tr>
      <w:tr>
        <w:tc>
          <w:tcPr>
            <w:tcW w:type="dxa" w:w="1728"/>
            <w:shd w:fill="EAF0F6"/>
            <w:vAlign w:val="center"/>
            <w:tcMar>
              <w:top w:w="90" w:type="dxa"/>
              <w:start w:w="120" w:type="dxa"/>
              <w:bottom w:w="90" w:type="dxa"/>
              <w:end w:w="120" w:type="dxa"/>
            </w:tcMar>
          </w:tcPr>
          <w:p>
            <w:r>
              <w:rPr>
                <w:b/>
              </w:rPr>
              <w:t>Owner</w:t>
            </w:r>
          </w:p>
        </w:tc>
        <w:tc>
          <w:tcPr>
            <w:tcW w:type="dxa" w:w="2952"/>
            <w:shd w:fill="FFFFFF"/>
            <w:vAlign w:val="center"/>
            <w:tcMar>
              <w:top w:w="90" w:type="dxa"/>
              <w:start w:w="120" w:type="dxa"/>
              <w:bottom w:w="90" w:type="dxa"/>
              <w:end w:w="120" w:type="dxa"/>
            </w:tcMar>
          </w:tcPr>
          <w:p>
            <w:r>
              <w:t>ISMS Owner</w:t>
            </w:r>
          </w:p>
        </w:tc>
        <w:tc>
          <w:tcPr>
            <w:tcW w:type="dxa" w:w="1728"/>
            <w:shd w:fill="EAF0F6"/>
            <w:vAlign w:val="center"/>
            <w:tcMar>
              <w:top w:w="90" w:type="dxa"/>
              <w:start w:w="120" w:type="dxa"/>
              <w:bottom w:w="90" w:type="dxa"/>
              <w:end w:w="120" w:type="dxa"/>
            </w:tcMar>
          </w:tcPr>
          <w:p>
            <w:r>
              <w:rPr>
                <w:b/>
              </w:rPr>
              <w:t>Approver</w:t>
            </w:r>
          </w:p>
        </w:tc>
        <w:tc>
          <w:tcPr>
            <w:tcW w:type="dxa" w:w="3384"/>
            <w:shd w:fill="FFFFFF"/>
            <w:vAlign w:val="center"/>
            <w:tcMar>
              <w:top w:w="90" w:type="dxa"/>
              <w:start w:w="120" w:type="dxa"/>
              <w:bottom w:w="90" w:type="dxa"/>
              <w:end w:w="120" w:type="dxa"/>
            </w:tcMar>
          </w:tcPr>
          <w:p>
            <w:r>
              <w:t>CEO</w:t>
            </w:r>
          </w:p>
        </w:tc>
      </w:tr>
      <w:tr>
        <w:tc>
          <w:tcPr>
            <w:tcW w:type="dxa" w:w="1728"/>
            <w:shd w:fill="EAF0F6"/>
            <w:vAlign w:val="center"/>
            <w:tcMar>
              <w:top w:w="90" w:type="dxa"/>
              <w:start w:w="120" w:type="dxa"/>
              <w:bottom w:w="90" w:type="dxa"/>
              <w:end w:w="120" w:type="dxa"/>
            </w:tcMar>
          </w:tcPr>
          <w:p>
            <w:r>
              <w:rPr>
                <w:b/>
              </w:rPr>
              <w:t>Effective date</w:t>
            </w:r>
          </w:p>
        </w:tc>
        <w:tc>
          <w:tcPr>
            <w:tcW w:type="dxa" w:w="2952"/>
            <w:shd w:fill="FFFFFF"/>
            <w:vAlign w:val="center"/>
            <w:tcMar>
              <w:top w:w="90" w:type="dxa"/>
              <w:start w:w="120" w:type="dxa"/>
              <w:bottom w:w="90" w:type="dxa"/>
              <w:end w:w="120" w:type="dxa"/>
            </w:tcMar>
          </w:tcPr>
          <w:p>
            <w:r>
              <w:t>26 July 2026</w:t>
            </w:r>
          </w:p>
        </w:tc>
        <w:tc>
          <w:tcPr>
            <w:tcW w:type="dxa" w:w="1728"/>
            <w:shd w:fill="EAF0F6"/>
            <w:vAlign w:val="center"/>
            <w:tcMar>
              <w:top w:w="90" w:type="dxa"/>
              <w:start w:w="120" w:type="dxa"/>
              <w:bottom w:w="90" w:type="dxa"/>
              <w:end w:w="120" w:type="dxa"/>
            </w:tcMar>
          </w:tcPr>
          <w:p>
            <w:r>
              <w:rPr>
                <w:b/>
              </w:rPr>
              <w:t>Next review</w:t>
            </w:r>
          </w:p>
        </w:tc>
        <w:tc>
          <w:tcPr>
            <w:tcW w:type="dxa" w:w="3384"/>
            <w:shd w:fill="FFFFFF"/>
            <w:vAlign w:val="center"/>
            <w:tcMar>
              <w:top w:w="90" w:type="dxa"/>
              <w:start w:w="120" w:type="dxa"/>
              <w:bottom w:w="90" w:type="dxa"/>
              <w:end w:w="120" w:type="dxa"/>
            </w:tcMar>
          </w:tcPr>
          <w:p>
            <w:r>
              <w:t>26 July 2027</w:t>
            </w:r>
          </w:p>
        </w:tc>
      </w:tr>
      <w:tr>
        <w:tc>
          <w:tcPr>
            <w:tcW w:type="dxa" w:w="1728"/>
            <w:shd w:fill="EAF0F6"/>
            <w:vAlign w:val="center"/>
            <w:tcMar>
              <w:top w:w="90" w:type="dxa"/>
              <w:start w:w="120" w:type="dxa"/>
              <w:bottom w:w="90" w:type="dxa"/>
              <w:end w:w="120" w:type="dxa"/>
            </w:tcMar>
          </w:tcPr>
          <w:p>
            <w:r>
              <w:rPr>
                <w:b/>
              </w:rPr>
              <w:t>Classification</w:t>
            </w:r>
          </w:p>
        </w:tc>
        <w:tc>
          <w:tcPr>
            <w:tcW w:type="dxa" w:w="2952"/>
            <w:shd w:fill="FFFFFF"/>
            <w:vAlign w:val="center"/>
            <w:tcMar>
              <w:top w:w="90" w:type="dxa"/>
              <w:start w:w="120" w:type="dxa"/>
              <w:bottom w:w="90" w:type="dxa"/>
              <w:end w:w="120" w:type="dxa"/>
            </w:tcMar>
          </w:tcPr>
          <w:p>
            <w:r>
              <w:t>Internal / Portfolio</w:t>
            </w:r>
          </w:p>
        </w:tc>
        <w:tc>
          <w:tcPr>
            <w:tcW w:type="dxa" w:w="1728"/>
            <w:shd w:fill="EAF0F6"/>
            <w:vAlign w:val="center"/>
            <w:tcMar>
              <w:top w:w="90" w:type="dxa"/>
              <w:start w:w="120" w:type="dxa"/>
              <w:bottom w:w="90" w:type="dxa"/>
              <w:end w:w="120" w:type="dxa"/>
            </w:tcMar>
          </w:tcPr>
          <w:p>
            <w:r>
              <w:rPr>
                <w:b/>
              </w:rPr>
              <w:t>Status</w:t>
            </w:r>
          </w:p>
        </w:tc>
        <w:tc>
          <w:tcPr>
            <w:tcW w:type="dxa" w:w="3384"/>
            <w:shd w:fill="FFFFFF"/>
            <w:vAlign w:val="center"/>
            <w:tcMar>
              <w:top w:w="90" w:type="dxa"/>
              <w:start w:w="120" w:type="dxa"/>
              <w:bottom w:w="90" w:type="dxa"/>
              <w:end w:w="120" w:type="dxa"/>
            </w:tcMar>
          </w:tcPr>
          <w:p>
            <w:r>
              <w:t>Approved for portfolio use</w:t>
            </w:r>
          </w:p>
        </w:tc>
      </w:tr>
    </w:tbl>
    <w:p/>
    <w:p>
      <w:pPr>
        <w:spacing w:after="200"/>
      </w:pPr>
      <w:r>
        <w:rPr>
          <w:b/>
        </w:rPr>
        <w:t xml:space="preserve">Portfolio note. </w:t>
      </w:r>
      <w:r>
        <w:t>This document is an illustrative ISMS artefact for the fictional company Veltrixa ApS. It demonstrates ISO/IEC 27001:2022 implementation logic; it is not evidence of certification or live operational performance.</w:t>
      </w:r>
    </w:p>
    <w:p>
      <w:pPr>
        <w:pStyle w:val="Heading1"/>
      </w:pPr>
      <w:r>
        <w:t>1. Purpose and principles</w:t>
      </w:r>
    </w:p>
    <w:p>
      <w:r>
        <w:t>This methodology produces consistent, valid and comparable information security risk results. Risk is assessed as the effect of uncertainty on the confidentiality, integrity or availability of information and supporting services.</w:t>
      </w:r>
    </w:p>
    <w:p>
      <w:pPr>
        <w:pStyle w:val="Heading1"/>
      </w:pPr>
      <w:r>
        <w:t>2. Roles and frequency</w:t>
      </w:r>
    </w:p>
    <w:tbl>
      <w:tblPr>
        <w:tblStyle w:val="TableGrid"/>
        <w:tblW w:type="dxa" w:w="9792"/>
        <w:jc w:val="center"/>
        <w:tblLayout w:type="fixed"/>
        <w:tblLook w:firstColumn="1" w:firstRow="1" w:lastColumn="0" w:lastRow="0" w:noHBand="0" w:noVBand="1" w:val="04A0"/>
      </w:tblPr>
      <w:tblGrid>
        <w:gridCol w:w="4896"/>
        <w:gridCol w:w="4896"/>
      </w:tblGrid>
      <w:tr>
        <w:trPr>
          <w:tblHeader w:val="true"/>
        </w:trPr>
        <w:tc>
          <w:tcPr>
            <w:tcW w:type="dxa" w:w="2232"/>
            <w:shd w:fill="1F4E79"/>
            <w:vAlign w:val="center"/>
            <w:tcMar>
              <w:top w:w="90" w:type="dxa"/>
              <w:start w:w="120" w:type="dxa"/>
              <w:bottom w:w="90" w:type="dxa"/>
              <w:end w:w="120" w:type="dxa"/>
            </w:tcMar>
          </w:tcPr>
          <w:p>
            <w:r>
              <w:rPr>
                <w:b/>
                <w:color w:val="FFFFFF"/>
                <w:sz w:val="18"/>
              </w:rPr>
              <w:t>Role</w:t>
            </w:r>
          </w:p>
        </w:tc>
        <w:tc>
          <w:tcPr>
            <w:tcW w:type="dxa" w:w="7560"/>
            <w:shd w:fill="1F4E79"/>
            <w:vAlign w:val="center"/>
            <w:tcMar>
              <w:top w:w="90" w:type="dxa"/>
              <w:start w:w="120" w:type="dxa"/>
              <w:bottom w:w="90" w:type="dxa"/>
              <w:end w:w="120" w:type="dxa"/>
            </w:tcMar>
          </w:tcPr>
          <w:p>
            <w:r>
              <w:rPr>
                <w:b/>
                <w:color w:val="FFFFFF"/>
                <w:sz w:val="18"/>
              </w:rPr>
              <w:t>Responsibility</w:t>
            </w:r>
          </w:p>
        </w:tc>
      </w:tr>
      <w:tr>
        <w:tc>
          <w:tcPr>
            <w:tcW w:type="dxa" w:w="2232"/>
            <w:vAlign w:val="center"/>
            <w:tcMar>
              <w:top w:w="90" w:type="dxa"/>
              <w:start w:w="120" w:type="dxa"/>
              <w:bottom w:w="90" w:type="dxa"/>
              <w:end w:w="120" w:type="dxa"/>
            </w:tcMar>
          </w:tcPr>
          <w:p>
            <w:pPr>
              <w:spacing w:after="20" w:line="240" w:lineRule="auto"/>
            </w:pPr>
            <w:r>
              <w:rPr>
                <w:sz w:val="18"/>
              </w:rPr>
              <w:t>ISMS Owner</w:t>
            </w:r>
          </w:p>
        </w:tc>
        <w:tc>
          <w:tcPr>
            <w:tcW w:type="dxa" w:w="7560"/>
            <w:vAlign w:val="center"/>
            <w:tcMar>
              <w:top w:w="90" w:type="dxa"/>
              <w:start w:w="120" w:type="dxa"/>
              <w:bottom w:w="90" w:type="dxa"/>
              <w:end w:w="120" w:type="dxa"/>
            </w:tcMar>
          </w:tcPr>
          <w:p>
            <w:pPr>
              <w:spacing w:after="20" w:line="240" w:lineRule="auto"/>
            </w:pPr>
            <w:r>
              <w:rPr>
                <w:sz w:val="18"/>
              </w:rPr>
              <w:t>Facilitates assessment, maintains criteria and challenges consistency.</w:t>
            </w:r>
          </w:p>
        </w:tc>
      </w:tr>
      <w:tr>
        <w:tc>
          <w:tcPr>
            <w:tcW w:type="dxa" w:w="2232"/>
            <w:shd w:fill="F6F8FA"/>
            <w:vAlign w:val="center"/>
            <w:tcMar>
              <w:top w:w="90" w:type="dxa"/>
              <w:start w:w="120" w:type="dxa"/>
              <w:bottom w:w="90" w:type="dxa"/>
              <w:end w:w="120" w:type="dxa"/>
            </w:tcMar>
          </w:tcPr>
          <w:p>
            <w:pPr>
              <w:spacing w:after="20" w:line="240" w:lineRule="auto"/>
            </w:pPr>
            <w:r>
              <w:rPr>
                <w:sz w:val="18"/>
              </w:rPr>
              <w:t>Risk owner</w:t>
            </w:r>
          </w:p>
        </w:tc>
        <w:tc>
          <w:tcPr>
            <w:tcW w:type="dxa" w:w="7560"/>
            <w:shd w:fill="F6F8FA"/>
            <w:vAlign w:val="center"/>
            <w:tcMar>
              <w:top w:w="90" w:type="dxa"/>
              <w:start w:w="120" w:type="dxa"/>
              <w:bottom w:w="90" w:type="dxa"/>
              <w:end w:w="120" w:type="dxa"/>
            </w:tcMar>
          </w:tcPr>
          <w:p>
            <w:pPr>
              <w:spacing w:after="20" w:line="240" w:lineRule="auto"/>
            </w:pPr>
            <w:r>
              <w:rPr>
                <w:sz w:val="18"/>
              </w:rPr>
              <w:t>Owns the business decision, treatment and residual risk.</w:t>
            </w:r>
          </w:p>
        </w:tc>
      </w:tr>
      <w:tr>
        <w:tc>
          <w:tcPr>
            <w:tcW w:type="dxa" w:w="2232"/>
            <w:vAlign w:val="center"/>
            <w:tcMar>
              <w:top w:w="90" w:type="dxa"/>
              <w:start w:w="120" w:type="dxa"/>
              <w:bottom w:w="90" w:type="dxa"/>
              <w:end w:w="120" w:type="dxa"/>
            </w:tcMar>
          </w:tcPr>
          <w:p>
            <w:pPr>
              <w:spacing w:after="20" w:line="240" w:lineRule="auto"/>
            </w:pPr>
            <w:r>
              <w:rPr>
                <w:sz w:val="18"/>
              </w:rPr>
              <w:t>Asset/control owner</w:t>
            </w:r>
          </w:p>
        </w:tc>
        <w:tc>
          <w:tcPr>
            <w:tcW w:type="dxa" w:w="7560"/>
            <w:vAlign w:val="center"/>
            <w:tcMar>
              <w:top w:w="90" w:type="dxa"/>
              <w:start w:w="120" w:type="dxa"/>
              <w:bottom w:w="90" w:type="dxa"/>
              <w:end w:w="120" w:type="dxa"/>
            </w:tcMar>
          </w:tcPr>
          <w:p>
            <w:pPr>
              <w:spacing w:after="20" w:line="240" w:lineRule="auto"/>
            </w:pPr>
            <w:r>
              <w:rPr>
                <w:sz w:val="18"/>
              </w:rPr>
              <w:t>Provides operational evidence and implements agreed controls.</w:t>
            </w:r>
          </w:p>
        </w:tc>
      </w:tr>
      <w:tr>
        <w:tc>
          <w:tcPr>
            <w:tcW w:type="dxa" w:w="2232"/>
            <w:shd w:fill="F6F8FA"/>
            <w:vAlign w:val="center"/>
            <w:tcMar>
              <w:top w:w="90" w:type="dxa"/>
              <w:start w:w="120" w:type="dxa"/>
              <w:bottom w:w="90" w:type="dxa"/>
              <w:end w:w="120" w:type="dxa"/>
            </w:tcMar>
          </w:tcPr>
          <w:p>
            <w:pPr>
              <w:spacing w:after="20" w:line="240" w:lineRule="auto"/>
            </w:pPr>
            <w:r>
              <w:rPr>
                <w:sz w:val="18"/>
              </w:rPr>
              <w:t>CEO</w:t>
            </w:r>
          </w:p>
        </w:tc>
        <w:tc>
          <w:tcPr>
            <w:tcW w:type="dxa" w:w="7560"/>
            <w:shd w:fill="F6F8FA"/>
            <w:vAlign w:val="center"/>
            <w:tcMar>
              <w:top w:w="90" w:type="dxa"/>
              <w:start w:w="120" w:type="dxa"/>
              <w:bottom w:w="90" w:type="dxa"/>
              <w:end w:w="120" w:type="dxa"/>
            </w:tcMar>
          </w:tcPr>
          <w:p>
            <w:pPr>
              <w:spacing w:after="20" w:line="240" w:lineRule="auto"/>
            </w:pPr>
            <w:r>
              <w:rPr>
                <w:sz w:val="18"/>
              </w:rPr>
              <w:t>Approves risk tolerance and accepts residual risks above tolerance.</w:t>
            </w:r>
          </w:p>
        </w:tc>
      </w:tr>
    </w:tbl>
    <w:p/>
    <w:p>
      <w:r>
        <w:t>A full assessment is performed annually. Targeted reassessment is triggered by significant technical or organizational change, a major incident, a new critical supplier, material threat intelligence or a new legal or contractual obligation.</w:t>
      </w:r>
    </w:p>
    <w:p>
      <w:pPr>
        <w:pStyle w:val="Heading1"/>
      </w:pPr>
      <w:r>
        <w:t>3. Assessment workflow</w:t>
      </w:r>
    </w:p>
    <w:tbl>
      <w:tblPr>
        <w:tblStyle w:val="TableGrid"/>
        <w:tblW w:type="dxa" w:w="9792"/>
        <w:jc w:val="center"/>
        <w:tblLayout w:type="fixed"/>
        <w:tblLook w:firstColumn="1" w:firstRow="1" w:lastColumn="0" w:lastRow="0" w:noHBand="0" w:noVBand="1" w:val="04A0"/>
      </w:tblPr>
      <w:tblGrid>
        <w:gridCol w:w="4896"/>
        <w:gridCol w:w="4896"/>
      </w:tblGrid>
      <w:tr>
        <w:trPr>
          <w:tblHeader w:val="true"/>
        </w:trPr>
        <w:tc>
          <w:tcPr>
            <w:tcW w:type="dxa" w:w="936"/>
            <w:shd w:fill="1F4E79"/>
            <w:vAlign w:val="center"/>
            <w:tcMar>
              <w:top w:w="90" w:type="dxa"/>
              <w:start w:w="120" w:type="dxa"/>
              <w:bottom w:w="90" w:type="dxa"/>
              <w:end w:w="120" w:type="dxa"/>
            </w:tcMar>
          </w:tcPr>
          <w:p>
            <w:r>
              <w:rPr>
                <w:b/>
                <w:color w:val="FFFFFF"/>
                <w:sz w:val="18"/>
              </w:rPr>
              <w:t>Step</w:t>
            </w:r>
          </w:p>
        </w:tc>
        <w:tc>
          <w:tcPr>
            <w:tcW w:type="dxa" w:w="8856"/>
            <w:shd w:fill="1F4E79"/>
            <w:vAlign w:val="center"/>
            <w:tcMar>
              <w:top w:w="90" w:type="dxa"/>
              <w:start w:w="120" w:type="dxa"/>
              <w:bottom w:w="90" w:type="dxa"/>
              <w:end w:w="120" w:type="dxa"/>
            </w:tcMar>
          </w:tcPr>
          <w:p>
            <w:r>
              <w:rPr>
                <w:b/>
                <w:color w:val="FFFFFF"/>
                <w:sz w:val="18"/>
              </w:rPr>
              <w:t>Activity</w:t>
            </w:r>
          </w:p>
        </w:tc>
      </w:tr>
      <w:tr>
        <w:tc>
          <w:tcPr>
            <w:tcW w:type="dxa" w:w="936"/>
            <w:vAlign w:val="center"/>
            <w:tcMar>
              <w:top w:w="90" w:type="dxa"/>
              <w:start w:w="120" w:type="dxa"/>
              <w:bottom w:w="90" w:type="dxa"/>
              <w:end w:w="120" w:type="dxa"/>
            </w:tcMar>
          </w:tcPr>
          <w:p>
            <w:pPr>
              <w:spacing w:after="20" w:line="240" w:lineRule="auto"/>
            </w:pPr>
            <w:r>
              <w:rPr>
                <w:sz w:val="18"/>
              </w:rPr>
              <w:t>1</w:t>
            </w:r>
          </w:p>
        </w:tc>
        <w:tc>
          <w:tcPr>
            <w:tcW w:type="dxa" w:w="8856"/>
            <w:vAlign w:val="center"/>
            <w:tcMar>
              <w:top w:w="90" w:type="dxa"/>
              <w:start w:w="120" w:type="dxa"/>
              <w:bottom w:w="90" w:type="dxa"/>
              <w:end w:w="120" w:type="dxa"/>
            </w:tcMar>
          </w:tcPr>
          <w:p>
            <w:pPr>
              <w:spacing w:after="20" w:line="240" w:lineRule="auto"/>
            </w:pPr>
            <w:r>
              <w:rPr>
                <w:sz w:val="18"/>
              </w:rPr>
              <w:t>Establish context. Confirm scope, assets, business processes, interested-party requirements and existing controls.</w:t>
            </w:r>
          </w:p>
        </w:tc>
      </w:tr>
      <w:tr>
        <w:tc>
          <w:tcPr>
            <w:tcW w:type="dxa" w:w="936"/>
            <w:shd w:fill="F6F8FA"/>
            <w:vAlign w:val="center"/>
            <w:tcMar>
              <w:top w:w="90" w:type="dxa"/>
              <w:start w:w="120" w:type="dxa"/>
              <w:bottom w:w="90" w:type="dxa"/>
              <w:end w:w="120" w:type="dxa"/>
            </w:tcMar>
          </w:tcPr>
          <w:p>
            <w:pPr>
              <w:spacing w:after="20" w:line="240" w:lineRule="auto"/>
            </w:pPr>
            <w:r>
              <w:rPr>
                <w:sz w:val="18"/>
              </w:rPr>
              <w:t>2</w:t>
            </w:r>
          </w:p>
        </w:tc>
        <w:tc>
          <w:tcPr>
            <w:tcW w:type="dxa" w:w="8856"/>
            <w:shd w:fill="F6F8FA"/>
            <w:vAlign w:val="center"/>
            <w:tcMar>
              <w:top w:w="90" w:type="dxa"/>
              <w:start w:w="120" w:type="dxa"/>
              <w:bottom w:w="90" w:type="dxa"/>
              <w:end w:w="120" w:type="dxa"/>
            </w:tcMar>
          </w:tcPr>
          <w:p>
            <w:pPr>
              <w:spacing w:after="20" w:line="240" w:lineRule="auto"/>
            </w:pPr>
            <w:r>
              <w:rPr>
                <w:sz w:val="18"/>
              </w:rPr>
              <w:t>Identify risk scenario. Record an asset or process, threat/event, vulnerability or condition, and the potential consequence.</w:t>
            </w:r>
          </w:p>
        </w:tc>
      </w:tr>
      <w:tr>
        <w:tc>
          <w:tcPr>
            <w:tcW w:type="dxa" w:w="936"/>
            <w:vAlign w:val="center"/>
            <w:tcMar>
              <w:top w:w="90" w:type="dxa"/>
              <w:start w:w="120" w:type="dxa"/>
              <w:bottom w:w="90" w:type="dxa"/>
              <w:end w:w="120" w:type="dxa"/>
            </w:tcMar>
          </w:tcPr>
          <w:p>
            <w:pPr>
              <w:spacing w:after="20" w:line="240" w:lineRule="auto"/>
            </w:pPr>
            <w:r>
              <w:rPr>
                <w:sz w:val="18"/>
              </w:rPr>
              <w:t>3</w:t>
            </w:r>
          </w:p>
        </w:tc>
        <w:tc>
          <w:tcPr>
            <w:tcW w:type="dxa" w:w="8856"/>
            <w:vAlign w:val="center"/>
            <w:tcMar>
              <w:top w:w="90" w:type="dxa"/>
              <w:start w:w="120" w:type="dxa"/>
              <w:bottom w:w="90" w:type="dxa"/>
              <w:end w:w="120" w:type="dxa"/>
            </w:tcMar>
          </w:tcPr>
          <w:p>
            <w:pPr>
              <w:spacing w:after="20" w:line="240" w:lineRule="auto"/>
            </w:pPr>
            <w:r>
              <w:rPr>
                <w:sz w:val="18"/>
              </w:rPr>
              <w:t>Assign owner. Name the person with authority and resources to manage the risk.</w:t>
            </w:r>
          </w:p>
        </w:tc>
      </w:tr>
      <w:tr>
        <w:tc>
          <w:tcPr>
            <w:tcW w:type="dxa" w:w="936"/>
            <w:shd w:fill="F6F8FA"/>
            <w:vAlign w:val="center"/>
            <w:tcMar>
              <w:top w:w="90" w:type="dxa"/>
              <w:start w:w="120" w:type="dxa"/>
              <w:bottom w:w="90" w:type="dxa"/>
              <w:end w:w="120" w:type="dxa"/>
            </w:tcMar>
          </w:tcPr>
          <w:p>
            <w:pPr>
              <w:spacing w:after="20" w:line="240" w:lineRule="auto"/>
            </w:pPr>
            <w:r>
              <w:rPr>
                <w:sz w:val="18"/>
              </w:rPr>
              <w:t>4</w:t>
            </w:r>
          </w:p>
        </w:tc>
        <w:tc>
          <w:tcPr>
            <w:tcW w:type="dxa" w:w="8856"/>
            <w:shd w:fill="F6F8FA"/>
            <w:vAlign w:val="center"/>
            <w:tcMar>
              <w:top w:w="90" w:type="dxa"/>
              <w:start w:w="120" w:type="dxa"/>
              <w:bottom w:w="90" w:type="dxa"/>
              <w:end w:w="120" w:type="dxa"/>
            </w:tcMar>
          </w:tcPr>
          <w:p>
            <w:pPr>
              <w:spacing w:after="20" w:line="240" w:lineRule="auto"/>
            </w:pPr>
            <w:r>
              <w:rPr>
                <w:sz w:val="18"/>
              </w:rPr>
              <w:t>Score inherent risk. Score impact and likelihood assuming no specific risk-reducing controls, while recognizing unavoidable characteristics of the environment.</w:t>
            </w:r>
          </w:p>
        </w:tc>
      </w:tr>
      <w:tr>
        <w:tc>
          <w:tcPr>
            <w:tcW w:type="dxa" w:w="936"/>
            <w:vAlign w:val="center"/>
            <w:tcMar>
              <w:top w:w="90" w:type="dxa"/>
              <w:start w:w="120" w:type="dxa"/>
              <w:bottom w:w="90" w:type="dxa"/>
              <w:end w:w="120" w:type="dxa"/>
            </w:tcMar>
          </w:tcPr>
          <w:p>
            <w:pPr>
              <w:spacing w:after="20" w:line="240" w:lineRule="auto"/>
            </w:pPr>
            <w:r>
              <w:rPr>
                <w:sz w:val="18"/>
              </w:rPr>
              <w:t>5</w:t>
            </w:r>
          </w:p>
        </w:tc>
        <w:tc>
          <w:tcPr>
            <w:tcW w:type="dxa" w:w="8856"/>
            <w:vAlign w:val="center"/>
            <w:tcMar>
              <w:top w:w="90" w:type="dxa"/>
              <w:start w:w="120" w:type="dxa"/>
              <w:bottom w:w="90" w:type="dxa"/>
              <w:end w:w="120" w:type="dxa"/>
            </w:tcMar>
          </w:tcPr>
          <w:p>
            <w:pPr>
              <w:spacing w:after="20" w:line="240" w:lineRule="auto"/>
            </w:pPr>
            <w:r>
              <w:rPr>
                <w:sz w:val="18"/>
              </w:rPr>
              <w:t>Evaluate existing controls. Record control references and assess whether they are implemented and operating.</w:t>
            </w:r>
          </w:p>
        </w:tc>
      </w:tr>
      <w:tr>
        <w:tc>
          <w:tcPr>
            <w:tcW w:type="dxa" w:w="936"/>
            <w:shd w:fill="F6F8FA"/>
            <w:vAlign w:val="center"/>
            <w:tcMar>
              <w:top w:w="90" w:type="dxa"/>
              <w:start w:w="120" w:type="dxa"/>
              <w:bottom w:w="90" w:type="dxa"/>
              <w:end w:w="120" w:type="dxa"/>
            </w:tcMar>
          </w:tcPr>
          <w:p>
            <w:pPr>
              <w:spacing w:after="20" w:line="240" w:lineRule="auto"/>
            </w:pPr>
            <w:r>
              <w:rPr>
                <w:sz w:val="18"/>
              </w:rPr>
              <w:t>6</w:t>
            </w:r>
          </w:p>
        </w:tc>
        <w:tc>
          <w:tcPr>
            <w:tcW w:type="dxa" w:w="8856"/>
            <w:shd w:fill="F6F8FA"/>
            <w:vAlign w:val="center"/>
            <w:tcMar>
              <w:top w:w="90" w:type="dxa"/>
              <w:start w:w="120" w:type="dxa"/>
              <w:bottom w:w="90" w:type="dxa"/>
              <w:end w:w="120" w:type="dxa"/>
            </w:tcMar>
          </w:tcPr>
          <w:p>
            <w:pPr>
              <w:spacing w:after="20" w:line="240" w:lineRule="auto"/>
            </w:pPr>
            <w:r>
              <w:rPr>
                <w:sz w:val="18"/>
              </w:rPr>
              <w:t>Score residual risk. Score impact and likelihood after existing controls.</w:t>
            </w:r>
          </w:p>
        </w:tc>
      </w:tr>
      <w:tr>
        <w:tc>
          <w:tcPr>
            <w:tcW w:type="dxa" w:w="936"/>
            <w:vAlign w:val="center"/>
            <w:tcMar>
              <w:top w:w="90" w:type="dxa"/>
              <w:start w:w="120" w:type="dxa"/>
              <w:bottom w:w="90" w:type="dxa"/>
              <w:end w:w="120" w:type="dxa"/>
            </w:tcMar>
          </w:tcPr>
          <w:p>
            <w:pPr>
              <w:spacing w:after="20" w:line="240" w:lineRule="auto"/>
            </w:pPr>
            <w:r>
              <w:rPr>
                <w:sz w:val="18"/>
              </w:rPr>
              <w:t>7</w:t>
            </w:r>
          </w:p>
        </w:tc>
        <w:tc>
          <w:tcPr>
            <w:tcW w:type="dxa" w:w="8856"/>
            <w:vAlign w:val="center"/>
            <w:tcMar>
              <w:top w:w="90" w:type="dxa"/>
              <w:start w:w="120" w:type="dxa"/>
              <w:bottom w:w="90" w:type="dxa"/>
              <w:end w:w="120" w:type="dxa"/>
            </w:tcMar>
          </w:tcPr>
          <w:p>
            <w:pPr>
              <w:spacing w:after="20" w:line="240" w:lineRule="auto"/>
            </w:pPr>
            <w:r>
              <w:rPr>
                <w:sz w:val="18"/>
              </w:rPr>
              <w:t>Evaluate. Compare residual score with acceptance criteria and select treatment.</w:t>
            </w:r>
          </w:p>
        </w:tc>
      </w:tr>
      <w:tr>
        <w:tc>
          <w:tcPr>
            <w:tcW w:type="dxa" w:w="936"/>
            <w:shd w:fill="F6F8FA"/>
            <w:vAlign w:val="center"/>
            <w:tcMar>
              <w:top w:w="90" w:type="dxa"/>
              <w:start w:w="120" w:type="dxa"/>
              <w:bottom w:w="90" w:type="dxa"/>
              <w:end w:w="120" w:type="dxa"/>
            </w:tcMar>
          </w:tcPr>
          <w:p>
            <w:pPr>
              <w:spacing w:after="20" w:line="240" w:lineRule="auto"/>
            </w:pPr>
            <w:r>
              <w:rPr>
                <w:sz w:val="18"/>
              </w:rPr>
              <w:t>8</w:t>
            </w:r>
          </w:p>
        </w:tc>
        <w:tc>
          <w:tcPr>
            <w:tcW w:type="dxa" w:w="8856"/>
            <w:shd w:fill="F6F8FA"/>
            <w:vAlign w:val="center"/>
            <w:tcMar>
              <w:top w:w="90" w:type="dxa"/>
              <w:start w:w="120" w:type="dxa"/>
              <w:bottom w:w="90" w:type="dxa"/>
              <w:end w:w="120" w:type="dxa"/>
            </w:tcMar>
          </w:tcPr>
          <w:p>
            <w:pPr>
              <w:spacing w:after="20" w:line="240" w:lineRule="auto"/>
            </w:pPr>
            <w:r>
              <w:rPr>
                <w:sz w:val="18"/>
              </w:rPr>
              <w:t>Approve and monitor. Create treatment actions, obtain required acceptance and review at the defined frequency.</w:t>
            </w:r>
          </w:p>
        </w:tc>
      </w:tr>
    </w:tbl>
    <w:p/>
    <w:p>
      <w:pPr>
        <w:pStyle w:val="Heading1"/>
      </w:pPr>
      <w:r>
        <w:t>4. Impact criteria</w:t>
      </w:r>
    </w:p>
    <w:tbl>
      <w:tblPr>
        <w:tblStyle w:val="TableGrid"/>
        <w:tblW w:type="dxa" w:w="9792"/>
        <w:jc w:val="center"/>
        <w:tblLayout w:type="fixed"/>
        <w:tblLook w:firstColumn="1" w:firstRow="1" w:lastColumn="0" w:lastRow="0" w:noHBand="0" w:noVBand="1" w:val="04A0"/>
      </w:tblPr>
      <w:tblGrid>
        <w:gridCol w:w="3264"/>
        <w:gridCol w:w="3264"/>
        <w:gridCol w:w="3264"/>
      </w:tblGrid>
      <w:tr>
        <w:trPr>
          <w:tblHeader w:val="true"/>
        </w:trPr>
        <w:tc>
          <w:tcPr>
            <w:tcW w:type="dxa" w:w="792"/>
            <w:shd w:fill="1F4E79"/>
            <w:vAlign w:val="center"/>
            <w:tcMar>
              <w:top w:w="90" w:type="dxa"/>
              <w:start w:w="120" w:type="dxa"/>
              <w:bottom w:w="90" w:type="dxa"/>
              <w:end w:w="120" w:type="dxa"/>
            </w:tcMar>
          </w:tcPr>
          <w:p>
            <w:r>
              <w:rPr>
                <w:b/>
                <w:color w:val="FFFFFF"/>
                <w:sz w:val="17"/>
              </w:rPr>
              <w:t>Score</w:t>
            </w:r>
          </w:p>
        </w:tc>
        <w:tc>
          <w:tcPr>
            <w:tcW w:type="dxa" w:w="1584"/>
            <w:shd w:fill="1F4E79"/>
            <w:vAlign w:val="center"/>
            <w:tcMar>
              <w:top w:w="90" w:type="dxa"/>
              <w:start w:w="120" w:type="dxa"/>
              <w:bottom w:w="90" w:type="dxa"/>
              <w:end w:w="120" w:type="dxa"/>
            </w:tcMar>
          </w:tcPr>
          <w:p>
            <w:r>
              <w:rPr>
                <w:b/>
                <w:color w:val="FFFFFF"/>
                <w:sz w:val="17"/>
              </w:rPr>
              <w:t>Level</w:t>
            </w:r>
          </w:p>
        </w:tc>
        <w:tc>
          <w:tcPr>
            <w:tcW w:type="dxa" w:w="7416"/>
            <w:shd w:fill="1F4E79"/>
            <w:vAlign w:val="center"/>
            <w:tcMar>
              <w:top w:w="90" w:type="dxa"/>
              <w:start w:w="120" w:type="dxa"/>
              <w:bottom w:w="90" w:type="dxa"/>
              <w:end w:w="120" w:type="dxa"/>
            </w:tcMar>
          </w:tcPr>
          <w:p>
            <w:r>
              <w:rPr>
                <w:b/>
                <w:color w:val="FFFFFF"/>
                <w:sz w:val="17"/>
              </w:rPr>
              <w:t>Illustrative consequence</w:t>
            </w:r>
          </w:p>
        </w:tc>
      </w:tr>
      <w:tr>
        <w:tc>
          <w:tcPr>
            <w:tcW w:type="dxa" w:w="792"/>
            <w:vAlign w:val="center"/>
            <w:tcMar>
              <w:top w:w="90" w:type="dxa"/>
              <w:start w:w="120" w:type="dxa"/>
              <w:bottom w:w="90" w:type="dxa"/>
              <w:end w:w="120" w:type="dxa"/>
            </w:tcMar>
          </w:tcPr>
          <w:p>
            <w:pPr>
              <w:spacing w:after="20" w:line="240" w:lineRule="auto"/>
            </w:pPr>
            <w:r>
              <w:rPr>
                <w:sz w:val="17"/>
              </w:rPr>
              <w:t>1</w:t>
            </w:r>
          </w:p>
        </w:tc>
        <w:tc>
          <w:tcPr>
            <w:tcW w:type="dxa" w:w="1584"/>
            <w:vAlign w:val="center"/>
            <w:tcMar>
              <w:top w:w="90" w:type="dxa"/>
              <w:start w:w="120" w:type="dxa"/>
              <w:bottom w:w="90" w:type="dxa"/>
              <w:end w:w="120" w:type="dxa"/>
            </w:tcMar>
          </w:tcPr>
          <w:p>
            <w:pPr>
              <w:spacing w:after="20" w:line="240" w:lineRule="auto"/>
            </w:pPr>
            <w:r>
              <w:rPr>
                <w:sz w:val="17"/>
              </w:rPr>
              <w:t>Insignificant</w:t>
            </w:r>
          </w:p>
        </w:tc>
        <w:tc>
          <w:tcPr>
            <w:tcW w:type="dxa" w:w="7416"/>
            <w:vAlign w:val="center"/>
            <w:tcMar>
              <w:top w:w="90" w:type="dxa"/>
              <w:start w:w="120" w:type="dxa"/>
              <w:bottom w:w="90" w:type="dxa"/>
              <w:end w:w="120" w:type="dxa"/>
            </w:tcMar>
          </w:tcPr>
          <w:p>
            <w:pPr>
              <w:spacing w:after="20" w:line="240" w:lineRule="auto"/>
            </w:pPr>
            <w:r>
              <w:rPr>
                <w:sz w:val="17"/>
              </w:rPr>
              <w:t>Negligible operational effect; no sensitive disclosure; no contractual concern.</w:t>
            </w:r>
          </w:p>
        </w:tc>
      </w:tr>
      <w:tr>
        <w:tc>
          <w:tcPr>
            <w:tcW w:type="dxa" w:w="792"/>
            <w:shd w:fill="F6F8FA"/>
            <w:vAlign w:val="center"/>
            <w:tcMar>
              <w:top w:w="90" w:type="dxa"/>
              <w:start w:w="120" w:type="dxa"/>
              <w:bottom w:w="90" w:type="dxa"/>
              <w:end w:w="120" w:type="dxa"/>
            </w:tcMar>
          </w:tcPr>
          <w:p>
            <w:pPr>
              <w:spacing w:after="20" w:line="240" w:lineRule="auto"/>
            </w:pPr>
            <w:r>
              <w:rPr>
                <w:sz w:val="17"/>
              </w:rPr>
              <w:t>2</w:t>
            </w:r>
          </w:p>
        </w:tc>
        <w:tc>
          <w:tcPr>
            <w:tcW w:type="dxa" w:w="1584"/>
            <w:shd w:fill="F6F8FA"/>
            <w:vAlign w:val="center"/>
            <w:tcMar>
              <w:top w:w="90" w:type="dxa"/>
              <w:start w:w="120" w:type="dxa"/>
              <w:bottom w:w="90" w:type="dxa"/>
              <w:end w:w="120" w:type="dxa"/>
            </w:tcMar>
          </w:tcPr>
          <w:p>
            <w:pPr>
              <w:spacing w:after="20" w:line="240" w:lineRule="auto"/>
            </w:pPr>
            <w:r>
              <w:rPr>
                <w:sz w:val="17"/>
              </w:rPr>
              <w:t>Minor</w:t>
            </w:r>
          </w:p>
        </w:tc>
        <w:tc>
          <w:tcPr>
            <w:tcW w:type="dxa" w:w="7416"/>
            <w:shd w:fill="F6F8FA"/>
            <w:vAlign w:val="center"/>
            <w:tcMar>
              <w:top w:w="90" w:type="dxa"/>
              <w:start w:w="120" w:type="dxa"/>
              <w:bottom w:w="90" w:type="dxa"/>
              <w:end w:w="120" w:type="dxa"/>
            </w:tcMar>
          </w:tcPr>
          <w:p>
            <w:pPr>
              <w:spacing w:after="20" w:line="240" w:lineRule="auto"/>
            </w:pPr>
            <w:r>
              <w:rPr>
                <w:sz w:val="17"/>
              </w:rPr>
              <w:t>Short localized disruption or limited internal impact; readily recoverable.</w:t>
            </w:r>
          </w:p>
        </w:tc>
      </w:tr>
      <w:tr>
        <w:tc>
          <w:tcPr>
            <w:tcW w:type="dxa" w:w="792"/>
            <w:vAlign w:val="center"/>
            <w:tcMar>
              <w:top w:w="90" w:type="dxa"/>
              <w:start w:w="120" w:type="dxa"/>
              <w:bottom w:w="90" w:type="dxa"/>
              <w:end w:w="120" w:type="dxa"/>
            </w:tcMar>
          </w:tcPr>
          <w:p>
            <w:pPr>
              <w:spacing w:after="20" w:line="240" w:lineRule="auto"/>
            </w:pPr>
            <w:r>
              <w:rPr>
                <w:sz w:val="17"/>
              </w:rPr>
              <w:t>3</w:t>
            </w:r>
          </w:p>
        </w:tc>
        <w:tc>
          <w:tcPr>
            <w:tcW w:type="dxa" w:w="1584"/>
            <w:vAlign w:val="center"/>
            <w:tcMar>
              <w:top w:w="90" w:type="dxa"/>
              <w:start w:w="120" w:type="dxa"/>
              <w:bottom w:w="90" w:type="dxa"/>
              <w:end w:w="120" w:type="dxa"/>
            </w:tcMar>
          </w:tcPr>
          <w:p>
            <w:pPr>
              <w:spacing w:after="20" w:line="240" w:lineRule="auto"/>
            </w:pPr>
            <w:r>
              <w:rPr>
                <w:sz w:val="17"/>
              </w:rPr>
              <w:t>Moderate</w:t>
            </w:r>
          </w:p>
        </w:tc>
        <w:tc>
          <w:tcPr>
            <w:tcW w:type="dxa" w:w="7416"/>
            <w:vAlign w:val="center"/>
            <w:tcMar>
              <w:top w:w="90" w:type="dxa"/>
              <w:start w:w="120" w:type="dxa"/>
              <w:bottom w:w="90" w:type="dxa"/>
              <w:end w:w="120" w:type="dxa"/>
            </w:tcMar>
          </w:tcPr>
          <w:p>
            <w:pPr>
              <w:spacing w:after="20" w:line="240" w:lineRule="auto"/>
            </w:pPr>
            <w:r>
              <w:rPr>
                <w:sz w:val="17"/>
              </w:rPr>
              <w:t>Material team or customer impact, limited personal-data exposure, or reportable customer issue.</w:t>
            </w:r>
          </w:p>
        </w:tc>
      </w:tr>
      <w:tr>
        <w:tc>
          <w:tcPr>
            <w:tcW w:type="dxa" w:w="792"/>
            <w:shd w:fill="F6F8FA"/>
            <w:vAlign w:val="center"/>
            <w:tcMar>
              <w:top w:w="90" w:type="dxa"/>
              <w:start w:w="120" w:type="dxa"/>
              <w:bottom w:w="90" w:type="dxa"/>
              <w:end w:w="120" w:type="dxa"/>
            </w:tcMar>
          </w:tcPr>
          <w:p>
            <w:pPr>
              <w:spacing w:after="20" w:line="240" w:lineRule="auto"/>
            </w:pPr>
            <w:r>
              <w:rPr>
                <w:sz w:val="17"/>
              </w:rPr>
              <w:t>4</w:t>
            </w:r>
          </w:p>
        </w:tc>
        <w:tc>
          <w:tcPr>
            <w:tcW w:type="dxa" w:w="1584"/>
            <w:shd w:fill="F6F8FA"/>
            <w:vAlign w:val="center"/>
            <w:tcMar>
              <w:top w:w="90" w:type="dxa"/>
              <w:start w:w="120" w:type="dxa"/>
              <w:bottom w:w="90" w:type="dxa"/>
              <w:end w:w="120" w:type="dxa"/>
            </w:tcMar>
          </w:tcPr>
          <w:p>
            <w:pPr>
              <w:spacing w:after="20" w:line="240" w:lineRule="auto"/>
            </w:pPr>
            <w:r>
              <w:rPr>
                <w:sz w:val="17"/>
              </w:rPr>
              <w:t>Major</w:t>
            </w:r>
          </w:p>
        </w:tc>
        <w:tc>
          <w:tcPr>
            <w:tcW w:type="dxa" w:w="7416"/>
            <w:shd w:fill="F6F8FA"/>
            <w:vAlign w:val="center"/>
            <w:tcMar>
              <w:top w:w="90" w:type="dxa"/>
              <w:start w:w="120" w:type="dxa"/>
              <w:bottom w:w="90" w:type="dxa"/>
              <w:end w:w="120" w:type="dxa"/>
            </w:tcMar>
          </w:tcPr>
          <w:p>
            <w:pPr>
              <w:spacing w:after="20" w:line="240" w:lineRule="auto"/>
            </w:pPr>
            <w:r>
              <w:rPr>
                <w:sz w:val="17"/>
              </w:rPr>
              <w:t>Extended service disruption, significant confidential-data exposure, major contractual or regulatory impact.</w:t>
            </w:r>
          </w:p>
        </w:tc>
      </w:tr>
      <w:tr>
        <w:tc>
          <w:tcPr>
            <w:tcW w:type="dxa" w:w="792"/>
            <w:vAlign w:val="center"/>
            <w:tcMar>
              <w:top w:w="90" w:type="dxa"/>
              <w:start w:w="120" w:type="dxa"/>
              <w:bottom w:w="90" w:type="dxa"/>
              <w:end w:w="120" w:type="dxa"/>
            </w:tcMar>
          </w:tcPr>
          <w:p>
            <w:pPr>
              <w:spacing w:after="20" w:line="240" w:lineRule="auto"/>
            </w:pPr>
            <w:r>
              <w:rPr>
                <w:sz w:val="17"/>
              </w:rPr>
              <w:t>5</w:t>
            </w:r>
          </w:p>
        </w:tc>
        <w:tc>
          <w:tcPr>
            <w:tcW w:type="dxa" w:w="1584"/>
            <w:vAlign w:val="center"/>
            <w:tcMar>
              <w:top w:w="90" w:type="dxa"/>
              <w:start w:w="120" w:type="dxa"/>
              <w:bottom w:w="90" w:type="dxa"/>
              <w:end w:w="120" w:type="dxa"/>
            </w:tcMar>
          </w:tcPr>
          <w:p>
            <w:pPr>
              <w:spacing w:after="20" w:line="240" w:lineRule="auto"/>
            </w:pPr>
            <w:r>
              <w:rPr>
                <w:sz w:val="17"/>
              </w:rPr>
              <w:t>Severe</w:t>
            </w:r>
          </w:p>
        </w:tc>
        <w:tc>
          <w:tcPr>
            <w:tcW w:type="dxa" w:w="7416"/>
            <w:vAlign w:val="center"/>
            <w:tcMar>
              <w:top w:w="90" w:type="dxa"/>
              <w:start w:w="120" w:type="dxa"/>
              <w:bottom w:w="90" w:type="dxa"/>
              <w:end w:w="120" w:type="dxa"/>
            </w:tcMar>
          </w:tcPr>
          <w:p>
            <w:pPr>
              <w:spacing w:after="20" w:line="240" w:lineRule="auto"/>
            </w:pPr>
            <w:r>
              <w:rPr>
                <w:sz w:val="17"/>
              </w:rPr>
              <w:t>Existential or prolonged impact, widespread sensitive-data compromise, severe regulatory action or lasting loss of trust.</w:t>
            </w:r>
          </w:p>
        </w:tc>
      </w:tr>
    </w:tbl>
    <w:p/>
    <w:p>
      <w:pPr>
        <w:pStyle w:val="Heading1"/>
      </w:pPr>
      <w:r>
        <w:t>5. Likelihood criteria</w:t>
      </w:r>
    </w:p>
    <w:tbl>
      <w:tblPr>
        <w:tblStyle w:val="TableGrid"/>
        <w:tblW w:type="dxa" w:w="9792"/>
        <w:jc w:val="center"/>
        <w:tblLayout w:type="fixed"/>
        <w:tblLook w:firstColumn="1" w:firstRow="1" w:lastColumn="0" w:lastRow="0" w:noHBand="0" w:noVBand="1" w:val="04A0"/>
      </w:tblPr>
      <w:tblGrid>
        <w:gridCol w:w="3264"/>
        <w:gridCol w:w="3264"/>
        <w:gridCol w:w="3264"/>
      </w:tblGrid>
      <w:tr>
        <w:trPr>
          <w:tblHeader w:val="true"/>
        </w:trPr>
        <w:tc>
          <w:tcPr>
            <w:tcW w:type="dxa" w:w="792"/>
            <w:shd w:fill="1F4E79"/>
            <w:vAlign w:val="center"/>
            <w:tcMar>
              <w:top w:w="90" w:type="dxa"/>
              <w:start w:w="120" w:type="dxa"/>
              <w:bottom w:w="90" w:type="dxa"/>
              <w:end w:w="120" w:type="dxa"/>
            </w:tcMar>
          </w:tcPr>
          <w:p>
            <w:r>
              <w:rPr>
                <w:b/>
                <w:color w:val="FFFFFF"/>
                <w:sz w:val="17"/>
              </w:rPr>
              <w:t>Score</w:t>
            </w:r>
          </w:p>
        </w:tc>
        <w:tc>
          <w:tcPr>
            <w:tcW w:type="dxa" w:w="1800"/>
            <w:shd w:fill="1F4E79"/>
            <w:vAlign w:val="center"/>
            <w:tcMar>
              <w:top w:w="90" w:type="dxa"/>
              <w:start w:w="120" w:type="dxa"/>
              <w:bottom w:w="90" w:type="dxa"/>
              <w:end w:w="120" w:type="dxa"/>
            </w:tcMar>
          </w:tcPr>
          <w:p>
            <w:r>
              <w:rPr>
                <w:b/>
                <w:color w:val="FFFFFF"/>
                <w:sz w:val="17"/>
              </w:rPr>
              <w:t>Level</w:t>
            </w:r>
          </w:p>
        </w:tc>
        <w:tc>
          <w:tcPr>
            <w:tcW w:type="dxa" w:w="7200"/>
            <w:shd w:fill="1F4E79"/>
            <w:vAlign w:val="center"/>
            <w:tcMar>
              <w:top w:w="90" w:type="dxa"/>
              <w:start w:w="120" w:type="dxa"/>
              <w:bottom w:w="90" w:type="dxa"/>
              <w:end w:w="120" w:type="dxa"/>
            </w:tcMar>
          </w:tcPr>
          <w:p>
            <w:r>
              <w:rPr>
                <w:b/>
                <w:color w:val="FFFFFF"/>
                <w:sz w:val="17"/>
              </w:rPr>
              <w:t>Expected frequency / conditions</w:t>
            </w:r>
          </w:p>
        </w:tc>
      </w:tr>
      <w:tr>
        <w:tc>
          <w:tcPr>
            <w:tcW w:type="dxa" w:w="792"/>
            <w:vAlign w:val="center"/>
            <w:tcMar>
              <w:top w:w="90" w:type="dxa"/>
              <w:start w:w="120" w:type="dxa"/>
              <w:bottom w:w="90" w:type="dxa"/>
              <w:end w:w="120" w:type="dxa"/>
            </w:tcMar>
          </w:tcPr>
          <w:p>
            <w:pPr>
              <w:spacing w:after="20" w:line="240" w:lineRule="auto"/>
            </w:pPr>
            <w:r>
              <w:rPr>
                <w:sz w:val="17"/>
              </w:rPr>
              <w:t>1</w:t>
            </w:r>
          </w:p>
        </w:tc>
        <w:tc>
          <w:tcPr>
            <w:tcW w:type="dxa" w:w="1800"/>
            <w:vAlign w:val="center"/>
            <w:tcMar>
              <w:top w:w="90" w:type="dxa"/>
              <w:start w:w="120" w:type="dxa"/>
              <w:bottom w:w="90" w:type="dxa"/>
              <w:end w:w="120" w:type="dxa"/>
            </w:tcMar>
          </w:tcPr>
          <w:p>
            <w:pPr>
              <w:spacing w:after="20" w:line="240" w:lineRule="auto"/>
            </w:pPr>
            <w:r>
              <w:rPr>
                <w:sz w:val="17"/>
              </w:rPr>
              <w:t>Rare</w:t>
            </w:r>
          </w:p>
        </w:tc>
        <w:tc>
          <w:tcPr>
            <w:tcW w:type="dxa" w:w="7200"/>
            <w:vAlign w:val="center"/>
            <w:tcMar>
              <w:top w:w="90" w:type="dxa"/>
              <w:start w:w="120" w:type="dxa"/>
              <w:bottom w:w="90" w:type="dxa"/>
              <w:end w:w="120" w:type="dxa"/>
            </w:tcMar>
          </w:tcPr>
          <w:p>
            <w:pPr>
              <w:spacing w:after="20" w:line="240" w:lineRule="auto"/>
            </w:pPr>
            <w:r>
              <w:rPr>
                <w:sz w:val="17"/>
              </w:rPr>
              <w:t>Exceptional; not expected within five years.</w:t>
            </w:r>
          </w:p>
        </w:tc>
      </w:tr>
      <w:tr>
        <w:tc>
          <w:tcPr>
            <w:tcW w:type="dxa" w:w="792"/>
            <w:shd w:fill="F6F8FA"/>
            <w:vAlign w:val="center"/>
            <w:tcMar>
              <w:top w:w="90" w:type="dxa"/>
              <w:start w:w="120" w:type="dxa"/>
              <w:bottom w:w="90" w:type="dxa"/>
              <w:end w:w="120" w:type="dxa"/>
            </w:tcMar>
          </w:tcPr>
          <w:p>
            <w:pPr>
              <w:spacing w:after="20" w:line="240" w:lineRule="auto"/>
            </w:pPr>
            <w:r>
              <w:rPr>
                <w:sz w:val="17"/>
              </w:rPr>
              <w:t>2</w:t>
            </w:r>
          </w:p>
        </w:tc>
        <w:tc>
          <w:tcPr>
            <w:tcW w:type="dxa" w:w="1800"/>
            <w:shd w:fill="F6F8FA"/>
            <w:vAlign w:val="center"/>
            <w:tcMar>
              <w:top w:w="90" w:type="dxa"/>
              <w:start w:w="120" w:type="dxa"/>
              <w:bottom w:w="90" w:type="dxa"/>
              <w:end w:w="120" w:type="dxa"/>
            </w:tcMar>
          </w:tcPr>
          <w:p>
            <w:pPr>
              <w:spacing w:after="20" w:line="240" w:lineRule="auto"/>
            </w:pPr>
            <w:r>
              <w:rPr>
                <w:sz w:val="17"/>
              </w:rPr>
              <w:t>Unlikely</w:t>
            </w:r>
          </w:p>
        </w:tc>
        <w:tc>
          <w:tcPr>
            <w:tcW w:type="dxa" w:w="7200"/>
            <w:shd w:fill="F6F8FA"/>
            <w:vAlign w:val="center"/>
            <w:tcMar>
              <w:top w:w="90" w:type="dxa"/>
              <w:start w:w="120" w:type="dxa"/>
              <w:bottom w:w="90" w:type="dxa"/>
              <w:end w:w="120" w:type="dxa"/>
            </w:tcMar>
          </w:tcPr>
          <w:p>
            <w:pPr>
              <w:spacing w:after="20" w:line="240" w:lineRule="auto"/>
            </w:pPr>
            <w:r>
              <w:rPr>
                <w:sz w:val="17"/>
              </w:rPr>
              <w:t>Could occur, but not expected within two to five years.</w:t>
            </w:r>
          </w:p>
        </w:tc>
      </w:tr>
      <w:tr>
        <w:tc>
          <w:tcPr>
            <w:tcW w:type="dxa" w:w="792"/>
            <w:vAlign w:val="center"/>
            <w:tcMar>
              <w:top w:w="90" w:type="dxa"/>
              <w:start w:w="120" w:type="dxa"/>
              <w:bottom w:w="90" w:type="dxa"/>
              <w:end w:w="120" w:type="dxa"/>
            </w:tcMar>
          </w:tcPr>
          <w:p>
            <w:pPr>
              <w:spacing w:after="20" w:line="240" w:lineRule="auto"/>
            </w:pPr>
            <w:r>
              <w:rPr>
                <w:sz w:val="17"/>
              </w:rPr>
              <w:t>3</w:t>
            </w:r>
          </w:p>
        </w:tc>
        <w:tc>
          <w:tcPr>
            <w:tcW w:type="dxa" w:w="1800"/>
            <w:vAlign w:val="center"/>
            <w:tcMar>
              <w:top w:w="90" w:type="dxa"/>
              <w:start w:w="120" w:type="dxa"/>
              <w:bottom w:w="90" w:type="dxa"/>
              <w:end w:w="120" w:type="dxa"/>
            </w:tcMar>
          </w:tcPr>
          <w:p>
            <w:pPr>
              <w:spacing w:after="20" w:line="240" w:lineRule="auto"/>
            </w:pPr>
            <w:r>
              <w:rPr>
                <w:sz w:val="17"/>
              </w:rPr>
              <w:t>Possible</w:t>
            </w:r>
          </w:p>
        </w:tc>
        <w:tc>
          <w:tcPr>
            <w:tcW w:type="dxa" w:w="7200"/>
            <w:vAlign w:val="center"/>
            <w:tcMar>
              <w:top w:w="90" w:type="dxa"/>
              <w:start w:w="120" w:type="dxa"/>
              <w:bottom w:w="90" w:type="dxa"/>
              <w:end w:w="120" w:type="dxa"/>
            </w:tcMar>
          </w:tcPr>
          <w:p>
            <w:pPr>
              <w:spacing w:after="20" w:line="240" w:lineRule="auto"/>
            </w:pPr>
            <w:r>
              <w:rPr>
                <w:sz w:val="17"/>
              </w:rPr>
              <w:t>Plausible within one to two years or under known conditions.</w:t>
            </w:r>
          </w:p>
        </w:tc>
      </w:tr>
      <w:tr>
        <w:tc>
          <w:tcPr>
            <w:tcW w:type="dxa" w:w="792"/>
            <w:shd w:fill="F6F8FA"/>
            <w:vAlign w:val="center"/>
            <w:tcMar>
              <w:top w:w="90" w:type="dxa"/>
              <w:start w:w="120" w:type="dxa"/>
              <w:bottom w:w="90" w:type="dxa"/>
              <w:end w:w="120" w:type="dxa"/>
            </w:tcMar>
          </w:tcPr>
          <w:p>
            <w:pPr>
              <w:spacing w:after="20" w:line="240" w:lineRule="auto"/>
            </w:pPr>
            <w:r>
              <w:rPr>
                <w:sz w:val="17"/>
              </w:rPr>
              <w:t>4</w:t>
            </w:r>
          </w:p>
        </w:tc>
        <w:tc>
          <w:tcPr>
            <w:tcW w:type="dxa" w:w="1800"/>
            <w:shd w:fill="F6F8FA"/>
            <w:vAlign w:val="center"/>
            <w:tcMar>
              <w:top w:w="90" w:type="dxa"/>
              <w:start w:w="120" w:type="dxa"/>
              <w:bottom w:w="90" w:type="dxa"/>
              <w:end w:w="120" w:type="dxa"/>
            </w:tcMar>
          </w:tcPr>
          <w:p>
            <w:pPr>
              <w:spacing w:after="20" w:line="240" w:lineRule="auto"/>
            </w:pPr>
            <w:r>
              <w:rPr>
                <w:sz w:val="17"/>
              </w:rPr>
              <w:t>Likely</w:t>
            </w:r>
          </w:p>
        </w:tc>
        <w:tc>
          <w:tcPr>
            <w:tcW w:type="dxa" w:w="7200"/>
            <w:shd w:fill="F6F8FA"/>
            <w:vAlign w:val="center"/>
            <w:tcMar>
              <w:top w:w="90" w:type="dxa"/>
              <w:start w:w="120" w:type="dxa"/>
              <w:bottom w:w="90" w:type="dxa"/>
              <w:end w:w="120" w:type="dxa"/>
            </w:tcMar>
          </w:tcPr>
          <w:p>
            <w:pPr>
              <w:spacing w:after="20" w:line="240" w:lineRule="auto"/>
            </w:pPr>
            <w:r>
              <w:rPr>
                <w:sz w:val="17"/>
              </w:rPr>
              <w:t>Expected within a year or has occurred in comparable environments.</w:t>
            </w:r>
          </w:p>
        </w:tc>
      </w:tr>
      <w:tr>
        <w:tc>
          <w:tcPr>
            <w:tcW w:type="dxa" w:w="792"/>
            <w:vAlign w:val="center"/>
            <w:tcMar>
              <w:top w:w="90" w:type="dxa"/>
              <w:start w:w="120" w:type="dxa"/>
              <w:bottom w:w="90" w:type="dxa"/>
              <w:end w:w="120" w:type="dxa"/>
            </w:tcMar>
          </w:tcPr>
          <w:p>
            <w:pPr>
              <w:spacing w:after="20" w:line="240" w:lineRule="auto"/>
            </w:pPr>
            <w:r>
              <w:rPr>
                <w:sz w:val="17"/>
              </w:rPr>
              <w:t>5</w:t>
            </w:r>
          </w:p>
        </w:tc>
        <w:tc>
          <w:tcPr>
            <w:tcW w:type="dxa" w:w="1800"/>
            <w:vAlign w:val="center"/>
            <w:tcMar>
              <w:top w:w="90" w:type="dxa"/>
              <w:start w:w="120" w:type="dxa"/>
              <w:bottom w:w="90" w:type="dxa"/>
              <w:end w:w="120" w:type="dxa"/>
            </w:tcMar>
          </w:tcPr>
          <w:p>
            <w:pPr>
              <w:spacing w:after="20" w:line="240" w:lineRule="auto"/>
            </w:pPr>
            <w:r>
              <w:rPr>
                <w:sz w:val="17"/>
              </w:rPr>
              <w:t>Almost certain</w:t>
            </w:r>
          </w:p>
        </w:tc>
        <w:tc>
          <w:tcPr>
            <w:tcW w:type="dxa" w:w="7200"/>
            <w:vAlign w:val="center"/>
            <w:tcMar>
              <w:top w:w="90" w:type="dxa"/>
              <w:start w:w="120" w:type="dxa"/>
              <w:bottom w:w="90" w:type="dxa"/>
              <w:end w:w="120" w:type="dxa"/>
            </w:tcMar>
          </w:tcPr>
          <w:p>
            <w:pPr>
              <w:spacing w:after="20" w:line="240" w:lineRule="auto"/>
            </w:pPr>
            <w:r>
              <w:rPr>
                <w:sz w:val="17"/>
              </w:rPr>
              <w:t>Expected repeatedly or conditions are already present.</w:t>
            </w:r>
          </w:p>
        </w:tc>
      </w:tr>
    </w:tbl>
    <w:p/>
    <w:p>
      <w:pPr>
        <w:pStyle w:val="Heading1"/>
      </w:pPr>
      <w:r>
        <w:t>6. Calculation and evaluation</w:t>
      </w:r>
    </w:p>
    <w:p>
      <w:r>
        <w:t>Risk score = Impact × Likelihood. Scorers record a rationale; the number is not used without the underlying scenario and evidence.</w:t>
      </w:r>
    </w:p>
    <w:tbl>
      <w:tblPr>
        <w:tblStyle w:val="TableGrid"/>
        <w:tblW w:type="dxa" w:w="9792"/>
        <w:jc w:val="center"/>
        <w:tblLayout w:type="fixed"/>
        <w:tblLook w:firstColumn="1" w:firstRow="1" w:lastColumn="0" w:lastRow="0" w:noHBand="0" w:noVBand="1" w:val="04A0"/>
      </w:tblPr>
      <w:tblGrid>
        <w:gridCol w:w="3264"/>
        <w:gridCol w:w="3264"/>
        <w:gridCol w:w="3264"/>
      </w:tblGrid>
      <w:tr>
        <w:trPr>
          <w:tblHeader w:val="true"/>
        </w:trPr>
        <w:tc>
          <w:tcPr>
            <w:tcW w:type="dxa" w:w="1152"/>
            <w:shd w:fill="1F4E79"/>
            <w:vAlign w:val="center"/>
            <w:tcMar>
              <w:top w:w="90" w:type="dxa"/>
              <w:start w:w="120" w:type="dxa"/>
              <w:bottom w:w="90" w:type="dxa"/>
              <w:end w:w="120" w:type="dxa"/>
            </w:tcMar>
          </w:tcPr>
          <w:p>
            <w:r>
              <w:rPr>
                <w:b/>
                <w:color w:val="FFFFFF"/>
                <w:sz w:val="18"/>
              </w:rPr>
              <w:t>Score</w:t>
            </w:r>
          </w:p>
        </w:tc>
        <w:tc>
          <w:tcPr>
            <w:tcW w:type="dxa" w:w="1584"/>
            <w:shd w:fill="1F4E79"/>
            <w:vAlign w:val="center"/>
            <w:tcMar>
              <w:top w:w="90" w:type="dxa"/>
              <w:start w:w="120" w:type="dxa"/>
              <w:bottom w:w="90" w:type="dxa"/>
              <w:end w:w="120" w:type="dxa"/>
            </w:tcMar>
          </w:tcPr>
          <w:p>
            <w:r>
              <w:rPr>
                <w:b/>
                <w:color w:val="FFFFFF"/>
                <w:sz w:val="18"/>
              </w:rPr>
              <w:t>Rating</w:t>
            </w:r>
          </w:p>
        </w:tc>
        <w:tc>
          <w:tcPr>
            <w:tcW w:type="dxa" w:w="7056"/>
            <w:shd w:fill="1F4E79"/>
            <w:vAlign w:val="center"/>
            <w:tcMar>
              <w:top w:w="90" w:type="dxa"/>
              <w:start w:w="120" w:type="dxa"/>
              <w:bottom w:w="90" w:type="dxa"/>
              <w:end w:w="120" w:type="dxa"/>
            </w:tcMar>
          </w:tcPr>
          <w:p>
            <w:r>
              <w:rPr>
                <w:b/>
                <w:color w:val="FFFFFF"/>
                <w:sz w:val="18"/>
              </w:rPr>
              <w:t>Required response</w:t>
            </w:r>
          </w:p>
        </w:tc>
      </w:tr>
      <w:tr>
        <w:tc>
          <w:tcPr>
            <w:tcW w:type="dxa" w:w="1152"/>
            <w:vAlign w:val="center"/>
            <w:tcMar>
              <w:top w:w="90" w:type="dxa"/>
              <w:start w:w="120" w:type="dxa"/>
              <w:bottom w:w="90" w:type="dxa"/>
              <w:end w:w="120" w:type="dxa"/>
            </w:tcMar>
          </w:tcPr>
          <w:p>
            <w:pPr>
              <w:spacing w:after="20" w:line="240" w:lineRule="auto"/>
            </w:pPr>
            <w:r>
              <w:rPr>
                <w:sz w:val="18"/>
              </w:rPr>
              <w:t>1–4</w:t>
            </w:r>
          </w:p>
        </w:tc>
        <w:tc>
          <w:tcPr>
            <w:tcW w:type="dxa" w:w="1584"/>
            <w:vAlign w:val="center"/>
            <w:tcMar>
              <w:top w:w="90" w:type="dxa"/>
              <w:start w:w="120" w:type="dxa"/>
              <w:bottom w:w="90" w:type="dxa"/>
              <w:end w:w="120" w:type="dxa"/>
            </w:tcMar>
          </w:tcPr>
          <w:p>
            <w:pPr>
              <w:spacing w:after="20" w:line="240" w:lineRule="auto"/>
            </w:pPr>
            <w:r>
              <w:rPr>
                <w:sz w:val="18"/>
              </w:rPr>
              <w:t>Low</w:t>
            </w:r>
          </w:p>
        </w:tc>
        <w:tc>
          <w:tcPr>
            <w:tcW w:type="dxa" w:w="7056"/>
            <w:vAlign w:val="center"/>
            <w:tcMar>
              <w:top w:w="90" w:type="dxa"/>
              <w:start w:w="120" w:type="dxa"/>
              <w:bottom w:w="90" w:type="dxa"/>
              <w:end w:w="120" w:type="dxa"/>
            </w:tcMar>
          </w:tcPr>
          <w:p>
            <w:pPr>
              <w:spacing w:after="20" w:line="240" w:lineRule="auto"/>
            </w:pPr>
            <w:r>
              <w:rPr>
                <w:sz w:val="18"/>
              </w:rPr>
              <w:t>May be accepted by the risk owner; monitor at least annually.</w:t>
            </w:r>
          </w:p>
        </w:tc>
      </w:tr>
      <w:tr>
        <w:tc>
          <w:tcPr>
            <w:tcW w:type="dxa" w:w="1152"/>
            <w:shd w:fill="F6F8FA"/>
            <w:vAlign w:val="center"/>
            <w:tcMar>
              <w:top w:w="90" w:type="dxa"/>
              <w:start w:w="120" w:type="dxa"/>
              <w:bottom w:w="90" w:type="dxa"/>
              <w:end w:w="120" w:type="dxa"/>
            </w:tcMar>
          </w:tcPr>
          <w:p>
            <w:pPr>
              <w:spacing w:after="20" w:line="240" w:lineRule="auto"/>
            </w:pPr>
            <w:r>
              <w:rPr>
                <w:sz w:val="18"/>
              </w:rPr>
              <w:t>5–9</w:t>
            </w:r>
          </w:p>
        </w:tc>
        <w:tc>
          <w:tcPr>
            <w:tcW w:type="dxa" w:w="1584"/>
            <w:shd w:fill="F6F8FA"/>
            <w:vAlign w:val="center"/>
            <w:tcMar>
              <w:top w:w="90" w:type="dxa"/>
              <w:start w:w="120" w:type="dxa"/>
              <w:bottom w:w="90" w:type="dxa"/>
              <w:end w:w="120" w:type="dxa"/>
            </w:tcMar>
          </w:tcPr>
          <w:p>
            <w:pPr>
              <w:spacing w:after="20" w:line="240" w:lineRule="auto"/>
            </w:pPr>
            <w:r>
              <w:rPr>
                <w:sz w:val="18"/>
              </w:rPr>
              <w:t>Medium</w:t>
            </w:r>
          </w:p>
        </w:tc>
        <w:tc>
          <w:tcPr>
            <w:tcW w:type="dxa" w:w="7056"/>
            <w:shd w:fill="F6F8FA"/>
            <w:vAlign w:val="center"/>
            <w:tcMar>
              <w:top w:w="90" w:type="dxa"/>
              <w:start w:w="120" w:type="dxa"/>
              <w:bottom w:w="90" w:type="dxa"/>
              <w:end w:w="120" w:type="dxa"/>
            </w:tcMar>
          </w:tcPr>
          <w:p>
            <w:pPr>
              <w:spacing w:after="20" w:line="240" w:lineRule="auto"/>
            </w:pPr>
            <w:r>
              <w:rPr>
                <w:sz w:val="18"/>
              </w:rPr>
              <w:t>Treat or explicitly accept; review at least every six months.</w:t>
            </w:r>
          </w:p>
        </w:tc>
      </w:tr>
      <w:tr>
        <w:tc>
          <w:tcPr>
            <w:tcW w:type="dxa" w:w="1152"/>
            <w:vAlign w:val="center"/>
            <w:tcMar>
              <w:top w:w="90" w:type="dxa"/>
              <w:start w:w="120" w:type="dxa"/>
              <w:bottom w:w="90" w:type="dxa"/>
              <w:end w:w="120" w:type="dxa"/>
            </w:tcMar>
          </w:tcPr>
          <w:p>
            <w:pPr>
              <w:spacing w:after="20" w:line="240" w:lineRule="auto"/>
            </w:pPr>
            <w:r>
              <w:rPr>
                <w:sz w:val="18"/>
              </w:rPr>
              <w:t>10–16</w:t>
            </w:r>
          </w:p>
        </w:tc>
        <w:tc>
          <w:tcPr>
            <w:tcW w:type="dxa" w:w="1584"/>
            <w:vAlign w:val="center"/>
            <w:tcMar>
              <w:top w:w="90" w:type="dxa"/>
              <w:start w:w="120" w:type="dxa"/>
              <w:bottom w:w="90" w:type="dxa"/>
              <w:end w:w="120" w:type="dxa"/>
            </w:tcMar>
          </w:tcPr>
          <w:p>
            <w:pPr>
              <w:spacing w:after="20" w:line="240" w:lineRule="auto"/>
            </w:pPr>
            <w:r>
              <w:rPr>
                <w:sz w:val="18"/>
              </w:rPr>
              <w:t>High</w:t>
            </w:r>
          </w:p>
        </w:tc>
        <w:tc>
          <w:tcPr>
            <w:tcW w:type="dxa" w:w="7056"/>
            <w:vAlign w:val="center"/>
            <w:tcMar>
              <w:top w:w="90" w:type="dxa"/>
              <w:start w:w="120" w:type="dxa"/>
              <w:bottom w:w="90" w:type="dxa"/>
              <w:end w:w="120" w:type="dxa"/>
            </w:tcMar>
          </w:tcPr>
          <w:p>
            <w:pPr>
              <w:spacing w:after="20" w:line="240" w:lineRule="auto"/>
            </w:pPr>
            <w:r>
              <w:rPr>
                <w:sz w:val="18"/>
              </w:rPr>
              <w:t>Treatment required unless CEO accepts a time-bound exception; review quarterly.</w:t>
            </w:r>
          </w:p>
        </w:tc>
      </w:tr>
      <w:tr>
        <w:tc>
          <w:tcPr>
            <w:tcW w:type="dxa" w:w="1152"/>
            <w:shd w:fill="F6F8FA"/>
            <w:vAlign w:val="center"/>
            <w:tcMar>
              <w:top w:w="90" w:type="dxa"/>
              <w:start w:w="120" w:type="dxa"/>
              <w:bottom w:w="90" w:type="dxa"/>
              <w:end w:w="120" w:type="dxa"/>
            </w:tcMar>
          </w:tcPr>
          <w:p>
            <w:pPr>
              <w:spacing w:after="20" w:line="240" w:lineRule="auto"/>
            </w:pPr>
            <w:r>
              <w:rPr>
                <w:sz w:val="18"/>
              </w:rPr>
              <w:t>17–25</w:t>
            </w:r>
          </w:p>
        </w:tc>
        <w:tc>
          <w:tcPr>
            <w:tcW w:type="dxa" w:w="1584"/>
            <w:shd w:fill="F6F8FA"/>
            <w:vAlign w:val="center"/>
            <w:tcMar>
              <w:top w:w="90" w:type="dxa"/>
              <w:start w:w="120" w:type="dxa"/>
              <w:bottom w:w="90" w:type="dxa"/>
              <w:end w:w="120" w:type="dxa"/>
            </w:tcMar>
          </w:tcPr>
          <w:p>
            <w:pPr>
              <w:spacing w:after="20" w:line="240" w:lineRule="auto"/>
            </w:pPr>
            <w:r>
              <w:rPr>
                <w:sz w:val="18"/>
              </w:rPr>
              <w:t>Critical</w:t>
            </w:r>
          </w:p>
        </w:tc>
        <w:tc>
          <w:tcPr>
            <w:tcW w:type="dxa" w:w="7056"/>
            <w:shd w:fill="F6F8FA"/>
            <w:vAlign w:val="center"/>
            <w:tcMar>
              <w:top w:w="90" w:type="dxa"/>
              <w:start w:w="120" w:type="dxa"/>
              <w:bottom w:w="90" w:type="dxa"/>
              <w:end w:w="120" w:type="dxa"/>
            </w:tcMar>
          </w:tcPr>
          <w:p>
            <w:pPr>
              <w:spacing w:after="20" w:line="240" w:lineRule="auto"/>
            </w:pPr>
            <w:r>
              <w:rPr>
                <w:sz w:val="18"/>
              </w:rPr>
              <w:t>Immediate action and executive oversight; service or change may be restricted until reduced.</w:t>
            </w:r>
          </w:p>
        </w:tc>
      </w:tr>
    </w:tbl>
    <w:p/>
    <w:p>
      <w:pPr>
        <w:pStyle w:val="Heading1"/>
      </w:pPr>
      <w:r>
        <w:t>7. Treatment and control selection</w:t>
      </w:r>
    </w:p>
    <w:p>
      <w:r>
        <w:t>The available options are modify (reduce likelihood or impact), avoid (stop the activity), share (transfer part of the consequence through contract or insurance) or retain (accept). Controls are selected from Annex A and other sources as needed. The Statement of Applicability records whether every Annex A control is necessary, why it is included or excluded, implementation status and supporting document or evidence.</w:t>
      </w:r>
    </w:p>
    <w:p>
      <w:pPr>
        <w:pStyle w:val="Heading1"/>
      </w:pPr>
      <w:r>
        <w:t>8. Residual risk acceptance</w:t>
      </w:r>
    </w:p>
    <w:p>
      <w:pPr>
        <w:pStyle w:val="ListBullet"/>
      </w:pPr>
      <w:r>
        <w:t>Low: risk owner approval.</w:t>
      </w:r>
    </w:p>
    <w:p>
      <w:pPr>
        <w:pStyle w:val="ListBullet"/>
      </w:pPr>
      <w:r>
        <w:t>Medium: risk owner approval with documented rationale and review date.</w:t>
      </w:r>
    </w:p>
    <w:p>
      <w:pPr>
        <w:pStyle w:val="ListBullet"/>
      </w:pPr>
      <w:r>
        <w:t>High: CEO approval, time-bound rationale and treatment or monitoring conditions.</w:t>
      </w:r>
    </w:p>
    <w:p>
      <w:pPr>
        <w:pStyle w:val="ListBullet"/>
      </w:pPr>
      <w:r>
        <w:t>Critical: not accepted for routine operation; immediate escalation and treatment are required.</w:t>
      </w:r>
    </w:p>
    <w:p>
      <w:pPr>
        <w:pStyle w:val="Heading1"/>
      </w:pPr>
      <w:r>
        <w:t>9. Review and consistency</w:t>
      </w:r>
    </w:p>
    <w:p>
      <w:r>
        <w:t>The ISMS Owner calibrates scoring across risks, challenges unsupported changes and records the date, participants and evidence used. Risk owners review treatment progress and residual ratings at the frequency required by the risk level.</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Internal / Portfolio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6"/>
      </w:rPr>
      <w:t>VELTRIXA ApS  |  ISMS-RA-001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20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