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 Display" w:hAnsi="Aptos Display"/>
          <w:b/>
          <w:color w:val="1F4E79"/>
          <w:sz w:val="48"/>
        </w:rPr>
        <w:t>Information Security Risk Register</w:t>
      </w:r>
    </w:p>
    <w:p>
      <w:pPr>
        <w:spacing w:after="280"/>
      </w:pPr>
      <w:r>
        <w:rPr>
          <w:color w:val="5B6573"/>
          <w:sz w:val="24"/>
        </w:rPr>
        <w:t>Veltrixa ApS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REG-RR-001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1.1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ISMS Owner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CEO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26 July 2026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26 July 2027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Internal / Portfolio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Approved for portfolio use</w:t>
            </w:r>
          </w:p>
        </w:tc>
      </w:tr>
    </w:tbl>
    <w:p/>
    <w:p>
      <w:pPr>
        <w:spacing w:after="200"/>
      </w:pPr>
      <w:r>
        <w:rPr>
          <w:b/>
        </w:rPr>
        <w:t xml:space="preserve">Portfolio note. </w:t>
      </w:r>
      <w:r>
        <w:t>This document is an illustrative ISMS artefact for the fictional company Veltrixa ApS. It demonstrates ISO/IEC 27001:2022 implementation logic; it is not evidence of certification or live operational performance.</w:t>
      </w:r>
    </w:p>
    <w:p>
      <w:pPr>
        <w:pStyle w:val="Heading1"/>
      </w:pPr>
      <w:r>
        <w:t>1. Register status</w:t>
      </w:r>
    </w:p>
    <w:p>
      <w:r>
        <w:t>Assessment date: 26 July 2026. Method: ISMS-RA-001. Impact and likelihood are scored from 1 to 5; score = impact × likelihood. The register shows both inherent risk before controls and residual risk after existing controls. All residual High risks have treatment actions in PLAN-RTP-001 and require CEO acceptance while open.</w:t>
      </w:r>
    </w:p>
    <w:p>
      <w:pPr>
        <w:pStyle w:val="Heading1"/>
      </w:pPr>
      <w:r>
        <w:t>2. Risk register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1240"/>
        <w:gridCol w:w="1680"/>
        <w:gridCol w:w="760"/>
        <w:gridCol w:w="1320"/>
        <w:gridCol w:w="820"/>
        <w:gridCol w:w="980"/>
        <w:gridCol w:w="780"/>
        <w:gridCol w:w="900"/>
      </w:tblGrid>
      <w:tr>
        <w:trPr>
          <w:tblHeader w:val="true"/>
          <w:tblHeader w:val="true"/>
        </w:trPr>
        <w:tc>
          <w:tcPr>
            <w:tcW w:type="dxa" w:w="52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4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Asset / process</w:t>
            </w:r>
          </w:p>
        </w:tc>
        <w:tc>
          <w:tcPr>
            <w:tcW w:type="dxa" w:w="168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Risk scenario</w:t>
            </w:r>
          </w:p>
        </w:tc>
        <w:tc>
          <w:tcPr>
            <w:tcW w:type="dxa" w:w="76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Inherent risk</w:t>
            </w:r>
          </w:p>
        </w:tc>
        <w:tc>
          <w:tcPr>
            <w:tcW w:type="dxa" w:w="132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Existing controls</w:t>
            </w:r>
          </w:p>
        </w:tc>
        <w:tc>
          <w:tcPr>
            <w:tcW w:type="dxa" w:w="82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Residual risk</w:t>
            </w:r>
          </w:p>
        </w:tc>
        <w:tc>
          <w:tcPr>
            <w:tcW w:type="dxa" w:w="98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78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Treatment</w:t>
            </w:r>
          </w:p>
        </w:tc>
        <w:tc>
          <w:tcPr>
            <w:tcW w:type="dxa" w:w="900"/>
            <w:shd w:fill="1F4E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5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R-01</w:t>
            </w:r>
          </w:p>
        </w:tc>
        <w:tc>
          <w:tcPr>
            <w:tcW w:type="dxa" w:w="12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4"/>
              </w:rPr>
              <w:t>Customer-uploaded documents and classification data</w:t>
            </w:r>
          </w:p>
        </w:tc>
        <w:tc>
          <w:tcPr>
            <w:tcW w:type="dxa" w:w="16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Unauthorized disclosure caused by compromised credentials or excessive access.</w:t>
            </w:r>
          </w:p>
        </w:tc>
        <w:tc>
          <w:tcPr>
            <w:tcW w:type="dxa" w:w="76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20 Critical</w:t>
            </w:r>
          </w:p>
        </w:tc>
        <w:tc>
          <w:tcPr>
            <w:tcW w:type="dxa" w:w="13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MFA, RBAC, quarterly reviews, encryption, DLP alerting</w:t>
            </w:r>
          </w:p>
        </w:tc>
        <w:tc>
          <w:tcPr>
            <w:tcW w:type="dxa" w:w="8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10 High</w:t>
            </w:r>
          </w:p>
        </w:tc>
        <w:tc>
          <w:tcPr>
            <w:tcW w:type="dxa" w:w="9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Head of Engineering</w:t>
            </w:r>
          </w:p>
        </w:tc>
        <w:tc>
          <w:tcPr>
            <w:tcW w:type="dxa" w:w="7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Quarterly</w:t>
            </w:r>
          </w:p>
        </w:tc>
      </w:tr>
      <w:tr>
        <w:trPr>
          <w:cantSplit/>
          <w:cantSplit/>
        </w:trPr>
        <w:tc>
          <w:tcPr>
            <w:tcW w:type="dxa" w:w="5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R-02</w:t>
            </w:r>
          </w:p>
        </w:tc>
        <w:tc>
          <w:tcPr>
            <w:tcW w:type="dxa" w:w="124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SaaS service</w:t>
            </w:r>
          </w:p>
        </w:tc>
        <w:tc>
          <w:tcPr>
            <w:tcW w:type="dxa" w:w="16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Service unavailable because capacity or infrastructure failure is not detected or recovered.</w:t>
            </w:r>
          </w:p>
        </w:tc>
        <w:tc>
          <w:tcPr>
            <w:tcW w:type="dxa" w:w="76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16 High</w:t>
            </w:r>
          </w:p>
        </w:tc>
        <w:tc>
          <w:tcPr>
            <w:tcW w:type="dxa" w:w="13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Autoscaling, alerting, backups, recovery tests</w:t>
            </w:r>
          </w:p>
        </w:tc>
        <w:tc>
          <w:tcPr>
            <w:tcW w:type="dxa" w:w="8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8 Medium</w:t>
            </w:r>
          </w:p>
        </w:tc>
        <w:tc>
          <w:tcPr>
            <w:tcW w:type="dxa" w:w="9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DevOps Lead</w:t>
            </w:r>
          </w:p>
        </w:tc>
        <w:tc>
          <w:tcPr>
            <w:tcW w:type="dxa" w:w="7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Quarterly</w:t>
            </w:r>
          </w:p>
        </w:tc>
      </w:tr>
      <w:tr>
        <w:trPr>
          <w:cantSplit/>
          <w:cantSplit/>
        </w:trPr>
        <w:tc>
          <w:tcPr>
            <w:tcW w:type="dxa" w:w="5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R-03</w:t>
            </w:r>
          </w:p>
        </w:tc>
        <w:tc>
          <w:tcPr>
            <w:tcW w:type="dxa" w:w="12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Cloud environment</w:t>
            </w:r>
          </w:p>
        </w:tc>
        <w:tc>
          <w:tcPr>
            <w:tcW w:type="dxa" w:w="16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Public exposure or compromise caused by insecure cloud configuration.</w:t>
            </w:r>
          </w:p>
        </w:tc>
        <w:tc>
          <w:tcPr>
            <w:tcW w:type="dxa" w:w="76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20 Critical</w:t>
            </w:r>
          </w:p>
        </w:tc>
        <w:tc>
          <w:tcPr>
            <w:tcW w:type="dxa" w:w="13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IaC, peer review, CSPM, logging and alerts</w:t>
            </w:r>
          </w:p>
        </w:tc>
        <w:tc>
          <w:tcPr>
            <w:tcW w:type="dxa" w:w="8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10 High</w:t>
            </w:r>
          </w:p>
        </w:tc>
        <w:tc>
          <w:tcPr>
            <w:tcW w:type="dxa" w:w="9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DevOps Lead</w:t>
            </w:r>
          </w:p>
        </w:tc>
        <w:tc>
          <w:tcPr>
            <w:tcW w:type="dxa" w:w="7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Quarterly</w:t>
            </w:r>
          </w:p>
        </w:tc>
      </w:tr>
      <w:tr>
        <w:trPr>
          <w:cantSplit/>
          <w:cantSplit/>
        </w:trPr>
        <w:tc>
          <w:tcPr>
            <w:tcW w:type="dxa" w:w="5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R-04</w:t>
            </w:r>
          </w:p>
        </w:tc>
        <w:tc>
          <w:tcPr>
            <w:tcW w:type="dxa" w:w="124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Source code and CI/CD</w:t>
            </w:r>
          </w:p>
        </w:tc>
        <w:tc>
          <w:tcPr>
            <w:tcW w:type="dxa" w:w="16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Malicious or accidental code change introduces compromise or leakage.</w:t>
            </w:r>
          </w:p>
        </w:tc>
        <w:tc>
          <w:tcPr>
            <w:tcW w:type="dxa" w:w="76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12 High</w:t>
            </w:r>
          </w:p>
        </w:tc>
        <w:tc>
          <w:tcPr>
            <w:tcW w:type="dxa" w:w="13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SSO/MFA, least privilege, protected branches, review, signed releases</w:t>
            </w:r>
          </w:p>
        </w:tc>
        <w:tc>
          <w:tcPr>
            <w:tcW w:type="dxa" w:w="8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4 Low</w:t>
            </w:r>
          </w:p>
        </w:tc>
        <w:tc>
          <w:tcPr>
            <w:tcW w:type="dxa" w:w="9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Engineering Manager</w:t>
            </w:r>
          </w:p>
        </w:tc>
        <w:tc>
          <w:tcPr>
            <w:tcW w:type="dxa" w:w="7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Six-monthly</w:t>
            </w:r>
          </w:p>
        </w:tc>
      </w:tr>
      <w:tr>
        <w:trPr>
          <w:cantSplit/>
          <w:cantSplit/>
        </w:trPr>
        <w:tc>
          <w:tcPr>
            <w:tcW w:type="dxa" w:w="5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R-05</w:t>
            </w:r>
          </w:p>
        </w:tc>
        <w:tc>
          <w:tcPr>
            <w:tcW w:type="dxa" w:w="12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Employee endpoints</w:t>
            </w:r>
          </w:p>
        </w:tc>
        <w:tc>
          <w:tcPr>
            <w:tcW w:type="dxa" w:w="16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Malware or device loss exposes credentials and company information.</w:t>
            </w:r>
          </w:p>
        </w:tc>
        <w:tc>
          <w:tcPr>
            <w:tcW w:type="dxa" w:w="76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16 High</w:t>
            </w:r>
          </w:p>
        </w:tc>
        <w:tc>
          <w:tcPr>
            <w:tcW w:type="dxa" w:w="13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MDM, disk encryption, EDR, patch SLAs, remote wipe</w:t>
            </w:r>
          </w:p>
        </w:tc>
        <w:tc>
          <w:tcPr>
            <w:tcW w:type="dxa" w:w="8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8 Medium</w:t>
            </w:r>
          </w:p>
        </w:tc>
        <w:tc>
          <w:tcPr>
            <w:tcW w:type="dxa" w:w="9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IT Operations</w:t>
            </w:r>
          </w:p>
        </w:tc>
        <w:tc>
          <w:tcPr>
            <w:tcW w:type="dxa" w:w="7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Quarterly</w:t>
            </w:r>
          </w:p>
        </w:tc>
      </w:tr>
      <w:tr>
        <w:trPr>
          <w:cantSplit/>
          <w:cantSplit/>
        </w:trPr>
        <w:tc>
          <w:tcPr>
            <w:tcW w:type="dxa" w:w="5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R-06</w:t>
            </w:r>
          </w:p>
        </w:tc>
        <w:tc>
          <w:tcPr>
            <w:tcW w:type="dxa" w:w="124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Email and collaboration</w:t>
            </w:r>
          </w:p>
        </w:tc>
        <w:tc>
          <w:tcPr>
            <w:tcW w:type="dxa" w:w="16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Phishing leads to account takeover, fraud or malware.</w:t>
            </w:r>
          </w:p>
        </w:tc>
        <w:tc>
          <w:tcPr>
            <w:tcW w:type="dxa" w:w="76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16 High</w:t>
            </w:r>
          </w:p>
        </w:tc>
        <w:tc>
          <w:tcPr>
            <w:tcW w:type="dxa" w:w="13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Awareness, simulations, MFA, filtering, reporting button</w:t>
            </w:r>
          </w:p>
        </w:tc>
        <w:tc>
          <w:tcPr>
            <w:tcW w:type="dxa" w:w="8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8 Medium</w:t>
            </w:r>
          </w:p>
        </w:tc>
        <w:tc>
          <w:tcPr>
            <w:tcW w:type="dxa" w:w="9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People Operations</w:t>
            </w:r>
          </w:p>
        </w:tc>
        <w:tc>
          <w:tcPr>
            <w:tcW w:type="dxa" w:w="7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Quarterly</w:t>
            </w:r>
          </w:p>
        </w:tc>
      </w:tr>
      <w:tr>
        <w:trPr>
          <w:cantSplit/>
          <w:cantSplit/>
        </w:trPr>
        <w:tc>
          <w:tcPr>
            <w:tcW w:type="dxa" w:w="5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R-07</w:t>
            </w:r>
          </w:p>
        </w:tc>
        <w:tc>
          <w:tcPr>
            <w:tcW w:type="dxa" w:w="12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Backups</w:t>
            </w:r>
          </w:p>
        </w:tc>
        <w:tc>
          <w:tcPr>
            <w:tcW w:type="dxa" w:w="16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Data cannot be restored within business needs after deletion, corruption or ransomware.</w:t>
            </w:r>
          </w:p>
        </w:tc>
        <w:tc>
          <w:tcPr>
            <w:tcW w:type="dxa" w:w="76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15 High</w:t>
            </w:r>
          </w:p>
        </w:tc>
        <w:tc>
          <w:tcPr>
            <w:tcW w:type="dxa" w:w="13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Encrypted immutable backups and quarterly restore tests</w:t>
            </w:r>
          </w:p>
        </w:tc>
        <w:tc>
          <w:tcPr>
            <w:tcW w:type="dxa" w:w="8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5 Medium</w:t>
            </w:r>
          </w:p>
        </w:tc>
        <w:tc>
          <w:tcPr>
            <w:tcW w:type="dxa" w:w="9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DevOps Lead</w:t>
            </w:r>
          </w:p>
        </w:tc>
        <w:tc>
          <w:tcPr>
            <w:tcW w:type="dxa" w:w="7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Quarterly</w:t>
            </w:r>
          </w:p>
        </w:tc>
      </w:tr>
      <w:tr>
        <w:trPr>
          <w:cantSplit/>
          <w:cantSplit/>
        </w:trPr>
        <w:tc>
          <w:tcPr>
            <w:tcW w:type="dxa" w:w="5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R-08</w:t>
            </w:r>
          </w:p>
        </w:tc>
        <w:tc>
          <w:tcPr>
            <w:tcW w:type="dxa" w:w="124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Critical suppliers</w:t>
            </w:r>
          </w:p>
        </w:tc>
        <w:tc>
          <w:tcPr>
            <w:tcW w:type="dxa" w:w="16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Supplier failure or breach disrupts service or compromises information.</w:t>
            </w:r>
          </w:p>
        </w:tc>
        <w:tc>
          <w:tcPr>
            <w:tcW w:type="dxa" w:w="76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15 High</w:t>
            </w:r>
          </w:p>
        </w:tc>
        <w:tc>
          <w:tcPr>
            <w:tcW w:type="dxa" w:w="13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Due diligence, contractual clauses, annual review, exit plan</w:t>
            </w:r>
          </w:p>
        </w:tc>
        <w:tc>
          <w:tcPr>
            <w:tcW w:type="dxa" w:w="8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10 High</w:t>
            </w:r>
          </w:p>
        </w:tc>
        <w:tc>
          <w:tcPr>
            <w:tcW w:type="dxa" w:w="9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ISMS Owner</w:t>
            </w:r>
          </w:p>
        </w:tc>
        <w:tc>
          <w:tcPr>
            <w:tcW w:type="dxa" w:w="7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 / share</w:t>
            </w:r>
          </w:p>
        </w:tc>
        <w:tc>
          <w:tcPr>
            <w:tcW w:type="dxa" w:w="90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Quarterly</w:t>
            </w:r>
          </w:p>
        </w:tc>
      </w:tr>
      <w:tr>
        <w:trPr>
          <w:cantSplit/>
          <w:cantSplit/>
        </w:trPr>
        <w:tc>
          <w:tcPr>
            <w:tcW w:type="dxa" w:w="5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R-09</w:t>
            </w:r>
          </w:p>
        </w:tc>
        <w:tc>
          <w:tcPr>
            <w:tcW w:type="dxa" w:w="12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Production changes</w:t>
            </w:r>
          </w:p>
        </w:tc>
        <w:tc>
          <w:tcPr>
            <w:tcW w:type="dxa" w:w="16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Uncontrolled change causes outage, security regression or loss of evidence.</w:t>
            </w:r>
          </w:p>
        </w:tc>
        <w:tc>
          <w:tcPr>
            <w:tcW w:type="dxa" w:w="76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12 High</w:t>
            </w:r>
          </w:p>
        </w:tc>
        <w:tc>
          <w:tcPr>
            <w:tcW w:type="dxa" w:w="13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Peer review, automated testing, approvals, rollback plans</w:t>
            </w:r>
          </w:p>
        </w:tc>
        <w:tc>
          <w:tcPr>
            <w:tcW w:type="dxa" w:w="8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4 Low</w:t>
            </w:r>
          </w:p>
        </w:tc>
        <w:tc>
          <w:tcPr>
            <w:tcW w:type="dxa" w:w="9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Engineering Manager</w:t>
            </w:r>
          </w:p>
        </w:tc>
        <w:tc>
          <w:tcPr>
            <w:tcW w:type="dxa" w:w="7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Six-monthly</w:t>
            </w:r>
          </w:p>
        </w:tc>
      </w:tr>
      <w:tr>
        <w:trPr>
          <w:cantSplit/>
          <w:cantSplit/>
        </w:trPr>
        <w:tc>
          <w:tcPr>
            <w:tcW w:type="dxa" w:w="5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R-10</w:t>
            </w:r>
          </w:p>
        </w:tc>
        <w:tc>
          <w:tcPr>
            <w:tcW w:type="dxa" w:w="124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Logs and evidence</w:t>
            </w:r>
          </w:p>
        </w:tc>
        <w:tc>
          <w:tcPr>
            <w:tcW w:type="dxa" w:w="16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Security activity is not detected or investigated due to incomplete or altered logs.</w:t>
            </w:r>
          </w:p>
        </w:tc>
        <w:tc>
          <w:tcPr>
            <w:tcW w:type="dxa" w:w="76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12 High</w:t>
            </w:r>
          </w:p>
        </w:tc>
        <w:tc>
          <w:tcPr>
            <w:tcW w:type="dxa" w:w="13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Centralized immutable logging, alerts, time sync, retention</w:t>
            </w:r>
          </w:p>
        </w:tc>
        <w:tc>
          <w:tcPr>
            <w:tcW w:type="dxa" w:w="8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4 Low</w:t>
            </w:r>
          </w:p>
        </w:tc>
        <w:tc>
          <w:tcPr>
            <w:tcW w:type="dxa" w:w="9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DevOps Lead</w:t>
            </w:r>
          </w:p>
        </w:tc>
        <w:tc>
          <w:tcPr>
            <w:tcW w:type="dxa" w:w="7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Six-monthly</w:t>
            </w:r>
          </w:p>
        </w:tc>
      </w:tr>
      <w:tr>
        <w:trPr>
          <w:cantSplit/>
          <w:cantSplit/>
        </w:trPr>
        <w:tc>
          <w:tcPr>
            <w:tcW w:type="dxa" w:w="5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R-11</w:t>
            </w:r>
          </w:p>
        </w:tc>
        <w:tc>
          <w:tcPr>
            <w:tcW w:type="dxa" w:w="12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Personal data lifecycle</w:t>
            </w:r>
          </w:p>
        </w:tc>
        <w:tc>
          <w:tcPr>
            <w:tcW w:type="dxa" w:w="16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Personal data is retained too long or used outside defined purpose.</w:t>
            </w:r>
          </w:p>
        </w:tc>
        <w:tc>
          <w:tcPr>
            <w:tcW w:type="dxa" w:w="76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12 High</w:t>
            </w:r>
          </w:p>
        </w:tc>
        <w:tc>
          <w:tcPr>
            <w:tcW w:type="dxa" w:w="13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Data inventory, retention schedule, deletion jobs, privacy review</w:t>
            </w:r>
          </w:p>
        </w:tc>
        <w:tc>
          <w:tcPr>
            <w:tcW w:type="dxa" w:w="82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8 Medium</w:t>
            </w:r>
          </w:p>
        </w:tc>
        <w:tc>
          <w:tcPr>
            <w:tcW w:type="dxa" w:w="9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Privacy Lead</w:t>
            </w:r>
          </w:p>
        </w:tc>
        <w:tc>
          <w:tcPr>
            <w:tcW w:type="dxa" w:w="78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Six-monthly</w:t>
            </w:r>
          </w:p>
        </w:tc>
      </w:tr>
      <w:tr>
        <w:trPr>
          <w:cantSplit/>
          <w:cantSplit/>
        </w:trPr>
        <w:tc>
          <w:tcPr>
            <w:tcW w:type="dxa" w:w="5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R-12</w:t>
            </w:r>
          </w:p>
        </w:tc>
        <w:tc>
          <w:tcPr>
            <w:tcW w:type="dxa" w:w="124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Privileged access</w:t>
            </w:r>
          </w:p>
        </w:tc>
        <w:tc>
          <w:tcPr>
            <w:tcW w:type="dxa" w:w="16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Administrator misuse or compromise produces broad unauthorized impact.</w:t>
            </w:r>
          </w:p>
        </w:tc>
        <w:tc>
          <w:tcPr>
            <w:tcW w:type="dxa" w:w="76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15 High</w:t>
            </w:r>
          </w:p>
        </w:tc>
        <w:tc>
          <w:tcPr>
            <w:tcW w:type="dxa" w:w="13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Separate admin accounts, JIT elevation, approvals, session logging</w:t>
            </w:r>
          </w:p>
        </w:tc>
        <w:tc>
          <w:tcPr>
            <w:tcW w:type="dxa" w:w="82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5 Medium</w:t>
            </w:r>
          </w:p>
        </w:tc>
        <w:tc>
          <w:tcPr>
            <w:tcW w:type="dxa" w:w="9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/>
                <w:sz w:val="14"/>
              </w:rPr>
              <w:t>Head of Engineering</w:t>
            </w:r>
          </w:p>
        </w:tc>
        <w:tc>
          <w:tcPr>
            <w:tcW w:type="dxa" w:w="78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Modify</w:t>
            </w:r>
          </w:p>
        </w:tc>
        <w:tc>
          <w:tcPr>
            <w:tcW w:type="dxa" w:w="900"/>
            <w:shd w:fill="F4F7FA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/>
                <w:sz w:val="14"/>
              </w:rPr>
              <w:t>Quarterly</w:t>
            </w:r>
          </w:p>
        </w:tc>
      </w:tr>
    </w:tbl>
    <w:p/>
    <w:p>
      <w:pPr>
        <w:pStyle w:val="Heading1"/>
      </w:pPr>
      <w:r>
        <w:t>3. Scoring rationale and traceability</w:t>
      </w:r>
    </w:p>
    <w:tbl>
      <w:tblPr>
        <w:tblW w:type="dxa" w:w="888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720"/>
        <w:gridCol w:w="790"/>
        <w:gridCol w:w="650"/>
        <w:gridCol w:w="760"/>
        <w:gridCol w:w="720"/>
        <w:gridCol w:w="790"/>
        <w:gridCol w:w="650"/>
        <w:gridCol w:w="760"/>
        <w:gridCol w:w="2490"/>
      </w:tblGrid>
      <w:tr>
        <w:trPr>
          <w:tblHeader w:val="true"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Inh. I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Inh. L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Inh. score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Inh. rating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Res. I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Res. L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Res. score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Res. rating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Control references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R-01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20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Critical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A.5.15; A.5.16; A.5.17; A.5.18; A.8.2; A.8.3; A.8.5; A.8.12; A.8.24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R-02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A.5.29; A.5.30; A.8.6; A.8.13; A.8.14; A.8.16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R-03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20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Critical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A.5.23; A.8.9; A.8.15; A.8.16; A.8.20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R-04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Low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A.5.15; A.5.18; A.8.4; A.8.25; A.8.28; A.8.32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R-05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A.6.7; A.7.9; A.8.1; A.8.7; A.8.8; A.8.9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R-06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A.6.3; A.6.8; A.8.5; A.8.7; A.8.23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R-07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A.5.30; A.8.13; A.8.14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R-08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A.5.19–A.5.23; A.5.30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R-09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Low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A.5.8; A.8.25–A.8.29; A.8.31; A.8.32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R-10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Low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A.5.25–A.5.28; A.8.15–A.8.17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R-11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A.5.31; A.5.33; A.5.34; A.8.10; A.8.11</w:t>
            </w:r>
          </w:p>
        </w:tc>
      </w:tr>
      <w:tr>
        <w:trPr>
          <w:cantSplit/>
        </w:trPr>
        <w:tc>
          <w:tcPr>
            <w:tcW w:type="dxa" w:w="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R-12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6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7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4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5"/>
              </w:rPr>
              <w:t>A.5.3; A.5.15–A.5.18; A.8.2; A.8.15; A.8.18</w:t>
            </w:r>
          </w:p>
        </w:tc>
      </w:tr>
    </w:tbl>
    <w:p>
      <w:pPr>
        <w:spacing w:after="120"/>
      </w:pPr>
      <w:r>
        <w:t>I = impact; L = likelihood. Inherent values are assessed before controls; residual values are assessed after the listed existing controls.</w:t>
      </w:r>
    </w:p>
    <w:p>
      <w:pPr>
        <w:pStyle w:val="Heading1"/>
      </w:pPr>
      <w:r>
        <w:t>4. Approval</w:t>
      </w:r>
    </w:p>
    <w:p>
      <w:r>
        <w:t>Risk owners confirm that scenarios, controls and residual ratings reflect the current environment. The CEO accepts the time-bound residual High risks R-01, R-03 and R-08 subject to completion of the linked treatment actions by their approved deadlines.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Internal / Portfolio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573"/>
        <w:sz w:val="16"/>
      </w:rPr>
      <w:t>VELTRIXA ApS  |  REG-RR-001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Risk Register</dc:title>
  <dc:subject>Veltrixa ISMS risk register with transparent inherent and residual scoring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