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 Display" w:hAnsi="Aptos Display"/>
          <w:b/>
          <w:color w:val="1F4E79"/>
          <w:sz w:val="48"/>
        </w:rPr>
        <w:t>Risk Treatment Plan</w:t>
      </w:r>
    </w:p>
    <w:p>
      <w:pPr>
        <w:spacing w:after="280"/>
      </w:pPr>
      <w:r>
        <w:rPr>
          <w:color w:val="5B6573"/>
          <w:sz w:val="24"/>
        </w:rPr>
        <w:t>Veltrixa ApS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728"/>
            <w:shd w:fill="EA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295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PLAN-RTP-001</w:t>
            </w:r>
          </w:p>
        </w:tc>
        <w:tc>
          <w:tcPr>
            <w:tcW w:type="dxa" w:w="1728"/>
            <w:shd w:fill="EA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384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1.0</w:t>
            </w:r>
          </w:p>
        </w:tc>
      </w:tr>
      <w:tr>
        <w:tc>
          <w:tcPr>
            <w:tcW w:type="dxa" w:w="1728"/>
            <w:shd w:fill="EA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Owner</w:t>
            </w:r>
          </w:p>
        </w:tc>
        <w:tc>
          <w:tcPr>
            <w:tcW w:type="dxa" w:w="295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ISMS Owner</w:t>
            </w:r>
          </w:p>
        </w:tc>
        <w:tc>
          <w:tcPr>
            <w:tcW w:type="dxa" w:w="1728"/>
            <w:shd w:fill="EA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3384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CEO</w:t>
            </w:r>
          </w:p>
        </w:tc>
      </w:tr>
      <w:tr>
        <w:tc>
          <w:tcPr>
            <w:tcW w:type="dxa" w:w="1728"/>
            <w:shd w:fill="EA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295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26 July 2026</w:t>
            </w:r>
          </w:p>
        </w:tc>
        <w:tc>
          <w:tcPr>
            <w:tcW w:type="dxa" w:w="1728"/>
            <w:shd w:fill="EA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Next review</w:t>
            </w:r>
          </w:p>
        </w:tc>
        <w:tc>
          <w:tcPr>
            <w:tcW w:type="dxa" w:w="3384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26 July 2027</w:t>
            </w:r>
          </w:p>
        </w:tc>
      </w:tr>
      <w:tr>
        <w:tc>
          <w:tcPr>
            <w:tcW w:type="dxa" w:w="1728"/>
            <w:shd w:fill="EA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95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Internal / Portfolio</w:t>
            </w:r>
          </w:p>
        </w:tc>
        <w:tc>
          <w:tcPr>
            <w:tcW w:type="dxa" w:w="1728"/>
            <w:shd w:fill="EA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84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Approved for portfolio use</w:t>
            </w:r>
          </w:p>
        </w:tc>
      </w:tr>
    </w:tbl>
    <w:p/>
    <w:p>
      <w:pPr>
        <w:spacing w:after="200"/>
      </w:pPr>
      <w:r>
        <w:rPr>
          <w:b/>
        </w:rPr>
        <w:t xml:space="preserve">Portfolio note. </w:t>
      </w:r>
      <w:r>
        <w:t>This document is an illustrative ISMS artefact for the fictional company Veltrixa ApS. It demonstrates ISO/IEC 27001:2022 implementation logic; it is not evidence of certification or live operational performance.</w:t>
      </w:r>
    </w:p>
    <w:p>
      <w:pPr>
        <w:pStyle w:val="Heading1"/>
      </w:pPr>
      <w:r>
        <w:t>1. Plan</w:t>
      </w:r>
    </w:p>
    <w:p>
      <w:r>
        <w:t>The following actions reduce residual risks or close partial control implementation. Completion must be supported by the named evidence and followed by residual-risk reassessment.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tblHeader w:val="true"/>
        </w:trPr>
        <w:tc>
          <w:tcPr>
            <w:tcW w:type="dxa" w:w="648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008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Risk</w:t>
            </w:r>
          </w:p>
        </w:tc>
        <w:tc>
          <w:tcPr>
            <w:tcW w:type="dxa" w:w="2592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1296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080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Due</w:t>
            </w:r>
          </w:p>
        </w:tc>
        <w:tc>
          <w:tcPr>
            <w:tcW w:type="dxa" w:w="2304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Acceptance evidence</w:t>
            </w:r>
          </w:p>
        </w:tc>
        <w:tc>
          <w:tcPr>
            <w:tcW w:type="dxa" w:w="864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T-01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R-01; R-12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Complete just-in-time privileged access and quarterly access certification.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Head of Engineering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30 Sep 2026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Approved design; implementation; access-review record; test evidence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In progress</w:t>
            </w:r>
          </w:p>
        </w:tc>
      </w:tr>
      <w:tr>
        <w:tc>
          <w:tcPr>
            <w:tcW w:type="dxa" w:w="6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T-02</w:t>
            </w:r>
          </w:p>
        </w:tc>
        <w:tc>
          <w:tcPr>
            <w:tcW w:type="dxa" w:w="100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R-03</w:t>
            </w:r>
          </w:p>
        </w:tc>
        <w:tc>
          <w:tcPr>
            <w:tcW w:type="dxa" w:w="25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Deploy cloud configuration policy-as-code and alerting for public exposure.</w:t>
            </w:r>
          </w:p>
        </w:tc>
        <w:tc>
          <w:tcPr>
            <w:tcW w:type="dxa" w:w="1296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DevOps Lead</w:t>
            </w:r>
          </w:p>
        </w:tc>
        <w:tc>
          <w:tcPr>
            <w:tcW w:type="dxa" w:w="108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31 Aug 2026</w:t>
            </w:r>
          </w:p>
        </w:tc>
        <w:tc>
          <w:tcPr>
            <w:tcW w:type="dxa" w:w="2304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Baseline; pipeline rule; alert test; remediation ticket</w:t>
            </w:r>
          </w:p>
        </w:tc>
        <w:tc>
          <w:tcPr>
            <w:tcW w:type="dxa" w:w="864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In progress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T-03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R-08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Complete critical-supplier assurance review and documented AWS exit/recovery scenario.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ISMS Owner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31 Oct 2026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Assessment; contract review; dependency map; tabletop record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Planned</w:t>
            </w:r>
          </w:p>
        </w:tc>
      </w:tr>
      <w:tr>
        <w:tc>
          <w:tcPr>
            <w:tcW w:type="dxa" w:w="6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T-04</w:t>
            </w:r>
          </w:p>
        </w:tc>
        <w:tc>
          <w:tcPr>
            <w:tcW w:type="dxa" w:w="100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R-06</w:t>
            </w:r>
          </w:p>
        </w:tc>
        <w:tc>
          <w:tcPr>
            <w:tcW w:type="dxa" w:w="25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Run role-based awareness training and phishing simulation; address repeat failures.</w:t>
            </w:r>
          </w:p>
        </w:tc>
        <w:tc>
          <w:tcPr>
            <w:tcW w:type="dxa" w:w="1296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People Operations</w:t>
            </w:r>
          </w:p>
        </w:tc>
        <w:tc>
          <w:tcPr>
            <w:tcW w:type="dxa" w:w="108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30 Sep 2026</w:t>
            </w:r>
          </w:p>
        </w:tc>
        <w:tc>
          <w:tcPr>
            <w:tcW w:type="dxa" w:w="2304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Attendance; results; follow-up actions</w:t>
            </w:r>
          </w:p>
        </w:tc>
        <w:tc>
          <w:tcPr>
            <w:tcW w:type="dxa" w:w="864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Planned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T-05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R-10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Validate monitoring coverage and incident-alert routing against critical scenarios.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DevOps Lead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31 Aug 2026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Coverage matrix; alert test; on-call evidence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In progress</w:t>
            </w:r>
          </w:p>
        </w:tc>
      </w:tr>
      <w:tr>
        <w:tc>
          <w:tcPr>
            <w:tcW w:type="dxa" w:w="6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T-06</w:t>
            </w:r>
          </w:p>
        </w:tc>
        <w:tc>
          <w:tcPr>
            <w:tcW w:type="dxa" w:w="100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R-11</w:t>
            </w:r>
          </w:p>
        </w:tc>
        <w:tc>
          <w:tcPr>
            <w:tcW w:type="dxa" w:w="25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Implement automated retention/deletion checks for customer content and logs.</w:t>
            </w:r>
          </w:p>
        </w:tc>
        <w:tc>
          <w:tcPr>
            <w:tcW w:type="dxa" w:w="1296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Privacy Lead</w:t>
            </w:r>
          </w:p>
        </w:tc>
        <w:tc>
          <w:tcPr>
            <w:tcW w:type="dxa" w:w="108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30 Nov 2026</w:t>
            </w:r>
          </w:p>
        </w:tc>
        <w:tc>
          <w:tcPr>
            <w:tcW w:type="dxa" w:w="2304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Retention rules; job logs; exception review</w:t>
            </w:r>
          </w:p>
        </w:tc>
        <w:tc>
          <w:tcPr>
            <w:tcW w:type="dxa" w:w="864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Planned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T-07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R-02; R-07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Perform quarterly restore and service-recovery exercise against RTO/RPO.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DevOps Lead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30 Sep 2026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Exercise plan; results; recovery timings; lessons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Planned</w:t>
            </w:r>
          </w:p>
        </w:tc>
      </w:tr>
    </w:tbl>
    <w:p/>
    <w:p>
      <w:pPr>
        <w:pStyle w:val="Heading1"/>
      </w:pPr>
      <w:r>
        <w:t>2. Governance</w:t>
      </w:r>
    </w:p>
    <w:p>
      <w:pPr>
        <w:pStyle w:val="ListBullet"/>
      </w:pPr>
      <w:r>
        <w:t>The responsible owner updates status monthly and escalates forecast delay before the due date.</w:t>
      </w:r>
    </w:p>
    <w:p>
      <w:pPr>
        <w:pStyle w:val="ListBullet"/>
      </w:pPr>
      <w:r>
        <w:t>The ISMS Owner verifies evidence and coordinates residual-risk reassessment after completion.</w:t>
      </w:r>
    </w:p>
    <w:p>
      <w:pPr>
        <w:pStyle w:val="ListBullet"/>
      </w:pPr>
      <w:r>
        <w:t>Material changes to scope, due date or treatment require risk-owner approval; High residual-risk extensions require CEO approval.</w:t>
      </w:r>
    </w:p>
    <w:p>
      <w:pPr>
        <w:pStyle w:val="ListBullet"/>
      </w:pPr>
      <w:r>
        <w:t>Closed actions remain traceable to supporting records and the updated risk register.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Internal / Portfolio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B6573"/>
        <w:sz w:val="16"/>
      </w:rPr>
      <w:t>VELTRIXA ApS  |  PLAN-RTP-001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030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03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