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Management Review Minutes</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REC-MRM-001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CEO</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Internal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Meeting details</w:t>
      </w:r>
    </w:p>
    <w:tbl>
      <w:tblPr>
        <w:tblStyle w:val="TableGrid"/>
        <w:tblW w:type="dxa" w:w="9792"/>
        <w:jc w:val="center"/>
        <w:tblLayout w:type="fixed"/>
        <w:tblLook w:firstColumn="1" w:firstRow="1" w:lastColumn="0" w:lastRow="0" w:noHBand="0" w:noVBand="1" w:val="04A0"/>
      </w:tblPr>
      <w:tblGrid>
        <w:gridCol w:w="4896"/>
        <w:gridCol w:w="4896"/>
      </w:tblGrid>
      <w:tr>
        <w:trPr>
          <w:tblHeader w:val="true"/>
        </w:trPr>
        <w:tc>
          <w:tcPr>
            <w:tcW w:type="dxa" w:w="2088"/>
            <w:shd w:fill="1F4E79"/>
            <w:vAlign w:val="center"/>
            <w:tcMar>
              <w:top w:w="90" w:type="dxa"/>
              <w:start w:w="120" w:type="dxa"/>
              <w:bottom w:w="90" w:type="dxa"/>
              <w:end w:w="120" w:type="dxa"/>
            </w:tcMar>
          </w:tcPr>
          <w:p>
            <w:r>
              <w:rPr>
                <w:b/>
                <w:color w:val="FFFFFF"/>
                <w:sz w:val="18"/>
              </w:rPr>
              <w:t>Field</w:t>
            </w:r>
          </w:p>
        </w:tc>
        <w:tc>
          <w:tcPr>
            <w:tcW w:type="dxa" w:w="7704"/>
            <w:shd w:fill="1F4E79"/>
            <w:vAlign w:val="center"/>
            <w:tcMar>
              <w:top w:w="90" w:type="dxa"/>
              <w:start w:w="120" w:type="dxa"/>
              <w:bottom w:w="90" w:type="dxa"/>
              <w:end w:w="120" w:type="dxa"/>
            </w:tcMar>
          </w:tcPr>
          <w:p>
            <w:r>
              <w:rPr>
                <w:b/>
                <w:color w:val="FFFFFF"/>
                <w:sz w:val="18"/>
              </w:rPr>
              <w:t>Record</w:t>
            </w:r>
          </w:p>
        </w:tc>
      </w:tr>
      <w:tr>
        <w:tc>
          <w:tcPr>
            <w:tcW w:type="dxa" w:w="2088"/>
            <w:vAlign w:val="center"/>
            <w:tcMar>
              <w:top w:w="90" w:type="dxa"/>
              <w:start w:w="120" w:type="dxa"/>
              <w:bottom w:w="90" w:type="dxa"/>
              <w:end w:w="120" w:type="dxa"/>
            </w:tcMar>
          </w:tcPr>
          <w:p>
            <w:pPr>
              <w:spacing w:after="20" w:line="240" w:lineRule="auto"/>
            </w:pPr>
            <w:r>
              <w:rPr>
                <w:sz w:val="18"/>
              </w:rPr>
              <w:t>Date</w:t>
            </w:r>
          </w:p>
        </w:tc>
        <w:tc>
          <w:tcPr>
            <w:tcW w:type="dxa" w:w="7704"/>
            <w:vAlign w:val="center"/>
            <w:tcMar>
              <w:top w:w="90" w:type="dxa"/>
              <w:start w:w="120" w:type="dxa"/>
              <w:bottom w:w="90" w:type="dxa"/>
              <w:end w:w="120" w:type="dxa"/>
            </w:tcMar>
          </w:tcPr>
          <w:p>
            <w:pPr>
              <w:spacing w:after="20" w:line="240" w:lineRule="auto"/>
            </w:pPr>
            <w:r>
              <w:rPr>
                <w:sz w:val="18"/>
              </w:rPr>
              <w:t>24 July 2026</w:t>
            </w:r>
          </w:p>
        </w:tc>
      </w:tr>
      <w:tr>
        <w:tc>
          <w:tcPr>
            <w:tcW w:type="dxa" w:w="2088"/>
            <w:shd w:fill="F6F8FA"/>
            <w:vAlign w:val="center"/>
            <w:tcMar>
              <w:top w:w="90" w:type="dxa"/>
              <w:start w:w="120" w:type="dxa"/>
              <w:bottom w:w="90" w:type="dxa"/>
              <w:end w:w="120" w:type="dxa"/>
            </w:tcMar>
          </w:tcPr>
          <w:p>
            <w:pPr>
              <w:spacing w:after="20" w:line="240" w:lineRule="auto"/>
            </w:pPr>
            <w:r>
              <w:rPr>
                <w:sz w:val="18"/>
              </w:rPr>
              <w:t>Chair</w:t>
            </w:r>
          </w:p>
        </w:tc>
        <w:tc>
          <w:tcPr>
            <w:tcW w:type="dxa" w:w="7704"/>
            <w:shd w:fill="F6F8FA"/>
            <w:vAlign w:val="center"/>
            <w:tcMar>
              <w:top w:w="90" w:type="dxa"/>
              <w:start w:w="120" w:type="dxa"/>
              <w:bottom w:w="90" w:type="dxa"/>
              <w:end w:w="120" w:type="dxa"/>
            </w:tcMar>
          </w:tcPr>
          <w:p>
            <w:pPr>
              <w:spacing w:after="20" w:line="240" w:lineRule="auto"/>
            </w:pPr>
            <w:r>
              <w:rPr>
                <w:sz w:val="18"/>
              </w:rPr>
              <w:t>CEO</w:t>
            </w:r>
          </w:p>
        </w:tc>
      </w:tr>
      <w:tr>
        <w:tc>
          <w:tcPr>
            <w:tcW w:type="dxa" w:w="2088"/>
            <w:vAlign w:val="center"/>
            <w:tcMar>
              <w:top w:w="90" w:type="dxa"/>
              <w:start w:w="120" w:type="dxa"/>
              <w:bottom w:w="90" w:type="dxa"/>
              <w:end w:w="120" w:type="dxa"/>
            </w:tcMar>
          </w:tcPr>
          <w:p>
            <w:pPr>
              <w:spacing w:after="20" w:line="240" w:lineRule="auto"/>
            </w:pPr>
            <w:r>
              <w:rPr>
                <w:sz w:val="18"/>
              </w:rPr>
              <w:t>Participants</w:t>
            </w:r>
          </w:p>
        </w:tc>
        <w:tc>
          <w:tcPr>
            <w:tcW w:type="dxa" w:w="7704"/>
            <w:vAlign w:val="center"/>
            <w:tcMar>
              <w:top w:w="90" w:type="dxa"/>
              <w:start w:w="120" w:type="dxa"/>
              <w:bottom w:w="90" w:type="dxa"/>
              <w:end w:w="120" w:type="dxa"/>
            </w:tcMar>
          </w:tcPr>
          <w:p>
            <w:pPr>
              <w:spacing w:after="20" w:line="240" w:lineRule="auto"/>
            </w:pPr>
            <w:r>
              <w:rPr>
                <w:sz w:val="18"/>
              </w:rPr>
              <w:t>CEO, ISMS Owner, Engineering Manager, DevOps Lead, People Operations</w:t>
            </w:r>
          </w:p>
        </w:tc>
      </w:tr>
      <w:tr>
        <w:tc>
          <w:tcPr>
            <w:tcW w:type="dxa" w:w="2088"/>
            <w:shd w:fill="F6F8FA"/>
            <w:vAlign w:val="center"/>
            <w:tcMar>
              <w:top w:w="90" w:type="dxa"/>
              <w:start w:w="120" w:type="dxa"/>
              <w:bottom w:w="90" w:type="dxa"/>
              <w:end w:w="120" w:type="dxa"/>
            </w:tcMar>
          </w:tcPr>
          <w:p>
            <w:pPr>
              <w:spacing w:after="20" w:line="240" w:lineRule="auto"/>
            </w:pPr>
            <w:r>
              <w:rPr>
                <w:sz w:val="18"/>
              </w:rPr>
              <w:t>Purpose</w:t>
            </w:r>
          </w:p>
        </w:tc>
        <w:tc>
          <w:tcPr>
            <w:tcW w:type="dxa" w:w="7704"/>
            <w:shd w:fill="F6F8FA"/>
            <w:vAlign w:val="center"/>
            <w:tcMar>
              <w:top w:w="90" w:type="dxa"/>
              <w:start w:w="120" w:type="dxa"/>
              <w:bottom w:w="90" w:type="dxa"/>
              <w:end w:w="120" w:type="dxa"/>
            </w:tcMar>
          </w:tcPr>
          <w:p>
            <w:pPr>
              <w:spacing w:after="20" w:line="240" w:lineRule="auto"/>
            </w:pPr>
            <w:r>
              <w:rPr>
                <w:sz w:val="18"/>
              </w:rPr>
              <w:t>Review continued suitability, adequacy and effectiveness of the ISMS.</w:t>
            </w:r>
          </w:p>
        </w:tc>
      </w:tr>
      <w:tr>
        <w:tc>
          <w:tcPr>
            <w:tcW w:type="dxa" w:w="2088"/>
            <w:vAlign w:val="center"/>
            <w:tcMar>
              <w:top w:w="90" w:type="dxa"/>
              <w:start w:w="120" w:type="dxa"/>
              <w:bottom w:w="90" w:type="dxa"/>
              <w:end w:w="120" w:type="dxa"/>
            </w:tcMar>
          </w:tcPr>
          <w:p>
            <w:pPr>
              <w:spacing w:after="20" w:line="240" w:lineRule="auto"/>
            </w:pPr>
            <w:r>
              <w:rPr>
                <w:sz w:val="18"/>
              </w:rPr>
              <w:t>Status</w:t>
            </w:r>
          </w:p>
        </w:tc>
        <w:tc>
          <w:tcPr>
            <w:tcW w:type="dxa" w:w="7704"/>
            <w:vAlign w:val="center"/>
            <w:tcMar>
              <w:top w:w="90" w:type="dxa"/>
              <w:start w:w="120" w:type="dxa"/>
              <w:bottom w:w="90" w:type="dxa"/>
              <w:end w:w="120" w:type="dxa"/>
            </w:tcMar>
          </w:tcPr>
          <w:p>
            <w:pPr>
              <w:spacing w:after="20" w:line="240" w:lineRule="auto"/>
            </w:pPr>
            <w:r>
              <w:rPr>
                <w:sz w:val="18"/>
              </w:rPr>
              <w:t>Illustrative portfolio record</w:t>
            </w:r>
          </w:p>
        </w:tc>
      </w:tr>
    </w:tbl>
    <w:p/>
    <w:p>
      <w:pPr>
        <w:pStyle w:val="Heading1"/>
      </w:pPr>
      <w:r>
        <w:t>2. Review inputs</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2088"/>
            <w:shd w:fill="1F4E79"/>
            <w:vAlign w:val="center"/>
            <w:tcMar>
              <w:top w:w="90" w:type="dxa"/>
              <w:start w:w="120" w:type="dxa"/>
              <w:bottom w:w="90" w:type="dxa"/>
              <w:end w:w="120" w:type="dxa"/>
            </w:tcMar>
          </w:tcPr>
          <w:p>
            <w:r>
              <w:rPr>
                <w:b/>
                <w:color w:val="FFFFFF"/>
                <w:sz w:val="16"/>
              </w:rPr>
              <w:t>Input</w:t>
            </w:r>
          </w:p>
        </w:tc>
        <w:tc>
          <w:tcPr>
            <w:tcW w:type="dxa" w:w="5112"/>
            <w:shd w:fill="1F4E79"/>
            <w:vAlign w:val="center"/>
            <w:tcMar>
              <w:top w:w="90" w:type="dxa"/>
              <w:start w:w="120" w:type="dxa"/>
              <w:bottom w:w="90" w:type="dxa"/>
              <w:end w:w="120" w:type="dxa"/>
            </w:tcMar>
          </w:tcPr>
          <w:p>
            <w:r>
              <w:rPr>
                <w:b/>
                <w:color w:val="FFFFFF"/>
                <w:sz w:val="16"/>
              </w:rPr>
              <w:t>Evidence / discussion</w:t>
            </w:r>
          </w:p>
        </w:tc>
        <w:tc>
          <w:tcPr>
            <w:tcW w:type="dxa" w:w="2592"/>
            <w:shd w:fill="1F4E79"/>
            <w:vAlign w:val="center"/>
            <w:tcMar>
              <w:top w:w="90" w:type="dxa"/>
              <w:start w:w="120" w:type="dxa"/>
              <w:bottom w:w="90" w:type="dxa"/>
              <w:end w:w="120" w:type="dxa"/>
            </w:tcMar>
          </w:tcPr>
          <w:p>
            <w:r>
              <w:rPr>
                <w:b/>
                <w:color w:val="FFFFFF"/>
                <w:sz w:val="16"/>
              </w:rPr>
              <w:t>Conclusion</w:t>
            </w:r>
          </w:p>
        </w:tc>
      </w:tr>
      <w:tr>
        <w:tc>
          <w:tcPr>
            <w:tcW w:type="dxa" w:w="2088"/>
            <w:vAlign w:val="center"/>
            <w:tcMar>
              <w:top w:w="90" w:type="dxa"/>
              <w:start w:w="120" w:type="dxa"/>
              <w:bottom w:w="90" w:type="dxa"/>
              <w:end w:w="120" w:type="dxa"/>
            </w:tcMar>
          </w:tcPr>
          <w:p>
            <w:pPr>
              <w:spacing w:after="20" w:line="240" w:lineRule="auto"/>
            </w:pPr>
            <w:r>
              <w:rPr>
                <w:sz w:val="16"/>
              </w:rPr>
              <w:t>Previous actions</w:t>
            </w:r>
          </w:p>
        </w:tc>
        <w:tc>
          <w:tcPr>
            <w:tcW w:type="dxa" w:w="5112"/>
            <w:vAlign w:val="center"/>
            <w:tcMar>
              <w:top w:w="90" w:type="dxa"/>
              <w:start w:w="120" w:type="dxa"/>
              <w:bottom w:w="90" w:type="dxa"/>
              <w:end w:w="120" w:type="dxa"/>
            </w:tcMar>
          </w:tcPr>
          <w:p>
            <w:pPr>
              <w:spacing w:after="20" w:line="240" w:lineRule="auto"/>
            </w:pPr>
            <w:r>
              <w:rPr>
                <w:sz w:val="16"/>
              </w:rPr>
              <w:t>First formal review; no previous management-review actions.</w:t>
            </w:r>
          </w:p>
        </w:tc>
        <w:tc>
          <w:tcPr>
            <w:tcW w:type="dxa" w:w="2592"/>
            <w:vAlign w:val="center"/>
            <w:tcMar>
              <w:top w:w="90" w:type="dxa"/>
              <w:start w:w="120" w:type="dxa"/>
              <w:bottom w:w="90" w:type="dxa"/>
              <w:end w:w="120" w:type="dxa"/>
            </w:tcMar>
          </w:tcPr>
          <w:p>
            <w:pPr>
              <w:spacing w:after="20" w:line="240" w:lineRule="auto"/>
            </w:pPr>
            <w:r>
              <w:rPr>
                <w:sz w:val="16"/>
              </w:rPr>
              <w:t>Noted</w:t>
            </w:r>
          </w:p>
        </w:tc>
      </w:tr>
      <w:tr>
        <w:tc>
          <w:tcPr>
            <w:tcW w:type="dxa" w:w="2088"/>
            <w:shd w:fill="F6F8FA"/>
            <w:vAlign w:val="center"/>
            <w:tcMar>
              <w:top w:w="90" w:type="dxa"/>
              <w:start w:w="120" w:type="dxa"/>
              <w:bottom w:w="90" w:type="dxa"/>
              <w:end w:w="120" w:type="dxa"/>
            </w:tcMar>
          </w:tcPr>
          <w:p>
            <w:pPr>
              <w:spacing w:after="20" w:line="240" w:lineRule="auto"/>
            </w:pPr>
            <w:r>
              <w:rPr>
                <w:sz w:val="16"/>
              </w:rPr>
              <w:t>Changes in context / requirements</w:t>
            </w:r>
          </w:p>
        </w:tc>
        <w:tc>
          <w:tcPr>
            <w:tcW w:type="dxa" w:w="5112"/>
            <w:shd w:fill="F6F8FA"/>
            <w:vAlign w:val="center"/>
            <w:tcMar>
              <w:top w:w="90" w:type="dxa"/>
              <w:start w:w="120" w:type="dxa"/>
              <w:bottom w:w="90" w:type="dxa"/>
              <w:end w:w="120" w:type="dxa"/>
            </w:tcMar>
          </w:tcPr>
          <w:p>
            <w:pPr>
              <w:spacing w:after="20" w:line="240" w:lineRule="auto"/>
            </w:pPr>
            <w:r>
              <w:rPr>
                <w:sz w:val="16"/>
              </w:rPr>
              <w:t>Growing enterprise-customer assurance needs; increased reliance on critical cloud suppliers.</w:t>
            </w:r>
          </w:p>
        </w:tc>
        <w:tc>
          <w:tcPr>
            <w:tcW w:type="dxa" w:w="2592"/>
            <w:shd w:fill="F6F8FA"/>
            <w:vAlign w:val="center"/>
            <w:tcMar>
              <w:top w:w="90" w:type="dxa"/>
              <w:start w:w="120" w:type="dxa"/>
              <w:bottom w:w="90" w:type="dxa"/>
              <w:end w:w="120" w:type="dxa"/>
            </w:tcMar>
          </w:tcPr>
          <w:p>
            <w:pPr>
              <w:spacing w:after="20" w:line="240" w:lineRule="auto"/>
            </w:pPr>
            <w:r>
              <w:rPr>
                <w:sz w:val="16"/>
              </w:rPr>
              <w:t>Supplier assurance and evidence quality prioritized.</w:t>
            </w:r>
          </w:p>
        </w:tc>
      </w:tr>
      <w:tr>
        <w:tc>
          <w:tcPr>
            <w:tcW w:type="dxa" w:w="2088"/>
            <w:vAlign w:val="center"/>
            <w:tcMar>
              <w:top w:w="90" w:type="dxa"/>
              <w:start w:w="120" w:type="dxa"/>
              <w:bottom w:w="90" w:type="dxa"/>
              <w:end w:w="120" w:type="dxa"/>
            </w:tcMar>
          </w:tcPr>
          <w:p>
            <w:pPr>
              <w:spacing w:after="20" w:line="240" w:lineRule="auto"/>
            </w:pPr>
            <w:r>
              <w:rPr>
                <w:sz w:val="16"/>
              </w:rPr>
              <w:t>Performance trends</w:t>
            </w:r>
          </w:p>
        </w:tc>
        <w:tc>
          <w:tcPr>
            <w:tcW w:type="dxa" w:w="5112"/>
            <w:vAlign w:val="center"/>
            <w:tcMar>
              <w:top w:w="90" w:type="dxa"/>
              <w:start w:w="120" w:type="dxa"/>
              <w:bottom w:w="90" w:type="dxa"/>
              <w:end w:w="120" w:type="dxa"/>
            </w:tcMar>
          </w:tcPr>
          <w:p>
            <w:pPr>
              <w:spacing w:after="20" w:line="240" w:lineRule="auto"/>
            </w:pPr>
            <w:r>
              <w:rPr>
                <w:sz w:val="16"/>
              </w:rPr>
              <w:t>MFA target met; treatment completion below target because three actions remain open; recovery test scheduled.</w:t>
            </w:r>
          </w:p>
        </w:tc>
        <w:tc>
          <w:tcPr>
            <w:tcW w:type="dxa" w:w="2592"/>
            <w:vAlign w:val="center"/>
            <w:tcMar>
              <w:top w:w="90" w:type="dxa"/>
              <w:start w:w="120" w:type="dxa"/>
              <w:bottom w:w="90" w:type="dxa"/>
              <w:end w:w="120" w:type="dxa"/>
            </w:tcMar>
          </w:tcPr>
          <w:p>
            <w:pPr>
              <w:spacing w:after="20" w:line="240" w:lineRule="auto"/>
            </w:pPr>
            <w:r>
              <w:rPr>
                <w:sz w:val="16"/>
              </w:rPr>
              <w:t>Continue monthly tracking.</w:t>
            </w:r>
          </w:p>
        </w:tc>
      </w:tr>
      <w:tr>
        <w:tc>
          <w:tcPr>
            <w:tcW w:type="dxa" w:w="2088"/>
            <w:shd w:fill="F6F8FA"/>
            <w:vAlign w:val="center"/>
            <w:tcMar>
              <w:top w:w="90" w:type="dxa"/>
              <w:start w:w="120" w:type="dxa"/>
              <w:bottom w:w="90" w:type="dxa"/>
              <w:end w:w="120" w:type="dxa"/>
            </w:tcMar>
          </w:tcPr>
          <w:p>
            <w:pPr>
              <w:spacing w:after="20" w:line="240" w:lineRule="auto"/>
            </w:pPr>
            <w:r>
              <w:rPr>
                <w:sz w:val="16"/>
              </w:rPr>
              <w:t>Nonconformities / corrective actions</w:t>
            </w:r>
          </w:p>
        </w:tc>
        <w:tc>
          <w:tcPr>
            <w:tcW w:type="dxa" w:w="5112"/>
            <w:shd w:fill="F6F8FA"/>
            <w:vAlign w:val="center"/>
            <w:tcMar>
              <w:top w:w="90" w:type="dxa"/>
              <w:start w:w="120" w:type="dxa"/>
              <w:bottom w:w="90" w:type="dxa"/>
              <w:end w:w="120" w:type="dxa"/>
            </w:tcMar>
          </w:tcPr>
          <w:p>
            <w:pPr>
              <w:spacing w:after="20" w:line="240" w:lineRule="auto"/>
            </w:pPr>
            <w:r>
              <w:rPr>
                <w:sz w:val="16"/>
              </w:rPr>
              <w:t>NC-01 raised by Q2 audit; one improvement opportunity open.</w:t>
            </w:r>
          </w:p>
        </w:tc>
        <w:tc>
          <w:tcPr>
            <w:tcW w:type="dxa" w:w="2592"/>
            <w:shd w:fill="F6F8FA"/>
            <w:vAlign w:val="center"/>
            <w:tcMar>
              <w:top w:w="90" w:type="dxa"/>
              <w:start w:w="120" w:type="dxa"/>
              <w:bottom w:w="90" w:type="dxa"/>
              <w:end w:w="120" w:type="dxa"/>
            </w:tcMar>
          </w:tcPr>
          <w:p>
            <w:pPr>
              <w:spacing w:after="20" w:line="240" w:lineRule="auto"/>
            </w:pPr>
            <w:r>
              <w:rPr>
                <w:sz w:val="16"/>
              </w:rPr>
              <w:t>Corrective action approved.</w:t>
            </w:r>
          </w:p>
        </w:tc>
      </w:tr>
      <w:tr>
        <w:tc>
          <w:tcPr>
            <w:tcW w:type="dxa" w:w="2088"/>
            <w:vAlign w:val="center"/>
            <w:tcMar>
              <w:top w:w="90" w:type="dxa"/>
              <w:start w:w="120" w:type="dxa"/>
              <w:bottom w:w="90" w:type="dxa"/>
              <w:end w:w="120" w:type="dxa"/>
            </w:tcMar>
          </w:tcPr>
          <w:p>
            <w:pPr>
              <w:spacing w:after="20" w:line="240" w:lineRule="auto"/>
            </w:pPr>
            <w:r>
              <w:rPr>
                <w:sz w:val="16"/>
              </w:rPr>
              <w:t>Monitoring and measurement</w:t>
            </w:r>
          </w:p>
        </w:tc>
        <w:tc>
          <w:tcPr>
            <w:tcW w:type="dxa" w:w="5112"/>
            <w:vAlign w:val="center"/>
            <w:tcMar>
              <w:top w:w="90" w:type="dxa"/>
              <w:start w:w="120" w:type="dxa"/>
              <w:bottom w:w="90" w:type="dxa"/>
              <w:end w:w="120" w:type="dxa"/>
            </w:tcMar>
          </w:tcPr>
          <w:p>
            <w:pPr>
              <w:spacing w:after="20" w:line="240" w:lineRule="auto"/>
            </w:pPr>
            <w:r>
              <w:rPr>
                <w:sz w:val="16"/>
              </w:rPr>
              <w:t>No severity-1 incidents in the illustrative period; alert coverage test incomplete.</w:t>
            </w:r>
          </w:p>
        </w:tc>
        <w:tc>
          <w:tcPr>
            <w:tcW w:type="dxa" w:w="2592"/>
            <w:vAlign w:val="center"/>
            <w:tcMar>
              <w:top w:w="90" w:type="dxa"/>
              <w:start w:w="120" w:type="dxa"/>
              <w:bottom w:w="90" w:type="dxa"/>
              <w:end w:w="120" w:type="dxa"/>
            </w:tcMar>
          </w:tcPr>
          <w:p>
            <w:pPr>
              <w:spacing w:after="20" w:line="240" w:lineRule="auto"/>
            </w:pPr>
            <w:r>
              <w:rPr>
                <w:sz w:val="16"/>
              </w:rPr>
              <w:t>Complete T-05 by 31 Aug 2026.</w:t>
            </w:r>
          </w:p>
        </w:tc>
      </w:tr>
      <w:tr>
        <w:tc>
          <w:tcPr>
            <w:tcW w:type="dxa" w:w="2088"/>
            <w:shd w:fill="F6F8FA"/>
            <w:vAlign w:val="center"/>
            <w:tcMar>
              <w:top w:w="90" w:type="dxa"/>
              <w:start w:w="120" w:type="dxa"/>
              <w:bottom w:w="90" w:type="dxa"/>
              <w:end w:w="120" w:type="dxa"/>
            </w:tcMar>
          </w:tcPr>
          <w:p>
            <w:pPr>
              <w:spacing w:after="20" w:line="240" w:lineRule="auto"/>
            </w:pPr>
            <w:r>
              <w:rPr>
                <w:sz w:val="16"/>
              </w:rPr>
              <w:t>Audit results</w:t>
            </w:r>
          </w:p>
        </w:tc>
        <w:tc>
          <w:tcPr>
            <w:tcW w:type="dxa" w:w="5112"/>
            <w:shd w:fill="F6F8FA"/>
            <w:vAlign w:val="center"/>
            <w:tcMar>
              <w:top w:w="90" w:type="dxa"/>
              <w:start w:w="120" w:type="dxa"/>
              <w:bottom w:w="90" w:type="dxa"/>
              <w:end w:w="120" w:type="dxa"/>
            </w:tcMar>
          </w:tcPr>
          <w:p>
            <w:pPr>
              <w:spacing w:after="20" w:line="240" w:lineRule="auto"/>
            </w:pPr>
            <w:r>
              <w:rPr>
                <w:sz w:val="16"/>
              </w:rPr>
              <w:t>One minor nonconformity, one opportunity for improvement and one conformity.</w:t>
            </w:r>
          </w:p>
        </w:tc>
        <w:tc>
          <w:tcPr>
            <w:tcW w:type="dxa" w:w="2592"/>
            <w:shd w:fill="F6F8FA"/>
            <w:vAlign w:val="center"/>
            <w:tcMar>
              <w:top w:w="90" w:type="dxa"/>
              <w:start w:w="120" w:type="dxa"/>
              <w:bottom w:w="90" w:type="dxa"/>
              <w:end w:w="120" w:type="dxa"/>
            </w:tcMar>
          </w:tcPr>
          <w:p>
            <w:pPr>
              <w:spacing w:after="20" w:line="240" w:lineRule="auto"/>
            </w:pPr>
            <w:r>
              <w:rPr>
                <w:sz w:val="16"/>
              </w:rPr>
              <w:t>Report accepted.</w:t>
            </w:r>
          </w:p>
        </w:tc>
      </w:tr>
      <w:tr>
        <w:tc>
          <w:tcPr>
            <w:tcW w:type="dxa" w:w="2088"/>
            <w:vAlign w:val="center"/>
            <w:tcMar>
              <w:top w:w="90" w:type="dxa"/>
              <w:start w:w="120" w:type="dxa"/>
              <w:bottom w:w="90" w:type="dxa"/>
              <w:end w:w="120" w:type="dxa"/>
            </w:tcMar>
          </w:tcPr>
          <w:p>
            <w:pPr>
              <w:spacing w:after="20" w:line="240" w:lineRule="auto"/>
            </w:pPr>
            <w:r>
              <w:rPr>
                <w:sz w:val="16"/>
              </w:rPr>
              <w:t>Objectives</w:t>
            </w:r>
          </w:p>
        </w:tc>
        <w:tc>
          <w:tcPr>
            <w:tcW w:type="dxa" w:w="5112"/>
            <w:vAlign w:val="center"/>
            <w:tcMar>
              <w:top w:w="90" w:type="dxa"/>
              <w:start w:w="120" w:type="dxa"/>
              <w:bottom w:w="90" w:type="dxa"/>
              <w:end w:w="120" w:type="dxa"/>
            </w:tcMar>
          </w:tcPr>
          <w:p>
            <w:pPr>
              <w:spacing w:after="20" w:line="240" w:lineRule="auto"/>
            </w:pPr>
            <w:r>
              <w:rPr>
                <w:sz w:val="16"/>
              </w:rPr>
              <w:t>OBJ-01 on target; OBJ-03 and OBJ-06 awaiting scheduled evidence; OBJ-05 below target.</w:t>
            </w:r>
          </w:p>
        </w:tc>
        <w:tc>
          <w:tcPr>
            <w:tcW w:type="dxa" w:w="2592"/>
            <w:vAlign w:val="center"/>
            <w:tcMar>
              <w:top w:w="90" w:type="dxa"/>
              <w:start w:w="120" w:type="dxa"/>
              <w:bottom w:w="90" w:type="dxa"/>
              <w:end w:w="120" w:type="dxa"/>
            </w:tcMar>
          </w:tcPr>
          <w:p>
            <w:pPr>
              <w:spacing w:after="20" w:line="240" w:lineRule="auto"/>
            </w:pPr>
            <w:r>
              <w:rPr>
                <w:sz w:val="16"/>
              </w:rPr>
              <w:t>Owners to report monthly.</w:t>
            </w:r>
          </w:p>
        </w:tc>
      </w:tr>
      <w:tr>
        <w:tc>
          <w:tcPr>
            <w:tcW w:type="dxa" w:w="2088"/>
            <w:shd w:fill="F6F8FA"/>
            <w:vAlign w:val="center"/>
            <w:tcMar>
              <w:top w:w="90" w:type="dxa"/>
              <w:start w:w="120" w:type="dxa"/>
              <w:bottom w:w="90" w:type="dxa"/>
              <w:end w:w="120" w:type="dxa"/>
            </w:tcMar>
          </w:tcPr>
          <w:p>
            <w:pPr>
              <w:spacing w:after="20" w:line="240" w:lineRule="auto"/>
            </w:pPr>
            <w:r>
              <w:rPr>
                <w:sz w:val="16"/>
              </w:rPr>
              <w:t>Risk status</w:t>
            </w:r>
          </w:p>
        </w:tc>
        <w:tc>
          <w:tcPr>
            <w:tcW w:type="dxa" w:w="5112"/>
            <w:shd w:fill="F6F8FA"/>
            <w:vAlign w:val="center"/>
            <w:tcMar>
              <w:top w:w="90" w:type="dxa"/>
              <w:start w:w="120" w:type="dxa"/>
              <w:bottom w:w="90" w:type="dxa"/>
              <w:end w:w="120" w:type="dxa"/>
            </w:tcMar>
          </w:tcPr>
          <w:p>
            <w:pPr>
              <w:spacing w:after="20" w:line="240" w:lineRule="auto"/>
            </w:pPr>
            <w:r>
              <w:rPr>
                <w:sz w:val="16"/>
              </w:rPr>
              <w:t>R-01, R-03 and R-08 remain residual High pending treatment.</w:t>
            </w:r>
          </w:p>
        </w:tc>
        <w:tc>
          <w:tcPr>
            <w:tcW w:type="dxa" w:w="2592"/>
            <w:shd w:fill="F6F8FA"/>
            <w:vAlign w:val="center"/>
            <w:tcMar>
              <w:top w:w="90" w:type="dxa"/>
              <w:start w:w="120" w:type="dxa"/>
              <w:bottom w:w="90" w:type="dxa"/>
              <w:end w:w="120" w:type="dxa"/>
            </w:tcMar>
          </w:tcPr>
          <w:p>
            <w:pPr>
              <w:spacing w:after="20" w:line="240" w:lineRule="auto"/>
            </w:pPr>
            <w:r>
              <w:rPr>
                <w:sz w:val="16"/>
              </w:rPr>
              <w:t>Time-bound acceptance confirmed.</w:t>
            </w:r>
          </w:p>
        </w:tc>
      </w:tr>
      <w:tr>
        <w:tc>
          <w:tcPr>
            <w:tcW w:type="dxa" w:w="2088"/>
            <w:vAlign w:val="center"/>
            <w:tcMar>
              <w:top w:w="90" w:type="dxa"/>
              <w:start w:w="120" w:type="dxa"/>
              <w:bottom w:w="90" w:type="dxa"/>
              <w:end w:w="120" w:type="dxa"/>
            </w:tcMar>
          </w:tcPr>
          <w:p>
            <w:pPr>
              <w:spacing w:after="20" w:line="240" w:lineRule="auto"/>
            </w:pPr>
            <w:r>
              <w:rPr>
                <w:sz w:val="16"/>
              </w:rPr>
              <w:t>Interested-party feedback</w:t>
            </w:r>
          </w:p>
        </w:tc>
        <w:tc>
          <w:tcPr>
            <w:tcW w:type="dxa" w:w="5112"/>
            <w:vAlign w:val="center"/>
            <w:tcMar>
              <w:top w:w="90" w:type="dxa"/>
              <w:start w:w="120" w:type="dxa"/>
              <w:bottom w:w="90" w:type="dxa"/>
              <w:end w:w="120" w:type="dxa"/>
            </w:tcMar>
          </w:tcPr>
          <w:p>
            <w:pPr>
              <w:spacing w:after="20" w:line="240" w:lineRule="auto"/>
            </w:pPr>
            <w:r>
              <w:rPr>
                <w:sz w:val="16"/>
              </w:rPr>
              <w:t>Prospective customers request clearer supplier and recovery assurance.</w:t>
            </w:r>
          </w:p>
        </w:tc>
        <w:tc>
          <w:tcPr>
            <w:tcW w:type="dxa" w:w="2592"/>
            <w:vAlign w:val="center"/>
            <w:tcMar>
              <w:top w:w="90" w:type="dxa"/>
              <w:start w:w="120" w:type="dxa"/>
              <w:bottom w:w="90" w:type="dxa"/>
              <w:end w:w="120" w:type="dxa"/>
            </w:tcMar>
          </w:tcPr>
          <w:p>
            <w:pPr>
              <w:spacing w:after="20" w:line="240" w:lineRule="auto"/>
            </w:pPr>
            <w:r>
              <w:rPr>
                <w:sz w:val="16"/>
              </w:rPr>
              <w:t>Prioritize T-03 and T-07.</w:t>
            </w:r>
          </w:p>
        </w:tc>
      </w:tr>
      <w:tr>
        <w:tc>
          <w:tcPr>
            <w:tcW w:type="dxa" w:w="2088"/>
            <w:shd w:fill="F6F8FA"/>
            <w:vAlign w:val="center"/>
            <w:tcMar>
              <w:top w:w="90" w:type="dxa"/>
              <w:start w:w="120" w:type="dxa"/>
              <w:bottom w:w="90" w:type="dxa"/>
              <w:end w:w="120" w:type="dxa"/>
            </w:tcMar>
          </w:tcPr>
          <w:p>
            <w:pPr>
              <w:spacing w:after="20" w:line="240" w:lineRule="auto"/>
            </w:pPr>
            <w:r>
              <w:rPr>
                <w:sz w:val="16"/>
              </w:rPr>
              <w:t>Improvement opportunities</w:t>
            </w:r>
          </w:p>
        </w:tc>
        <w:tc>
          <w:tcPr>
            <w:tcW w:type="dxa" w:w="5112"/>
            <w:shd w:fill="F6F8FA"/>
            <w:vAlign w:val="center"/>
            <w:tcMar>
              <w:top w:w="90" w:type="dxa"/>
              <w:start w:w="120" w:type="dxa"/>
              <w:bottom w:w="90" w:type="dxa"/>
              <w:end w:w="120" w:type="dxa"/>
            </w:tcMar>
          </w:tcPr>
          <w:p>
            <w:pPr>
              <w:spacing w:after="20" w:line="240" w:lineRule="auto"/>
            </w:pPr>
            <w:r>
              <w:rPr>
                <w:sz w:val="16"/>
              </w:rPr>
              <w:t>Introduce evidence index and automated reminders for owners.</w:t>
            </w:r>
          </w:p>
        </w:tc>
        <w:tc>
          <w:tcPr>
            <w:tcW w:type="dxa" w:w="2592"/>
            <w:shd w:fill="F6F8FA"/>
            <w:vAlign w:val="center"/>
            <w:tcMar>
              <w:top w:w="90" w:type="dxa"/>
              <w:start w:w="120" w:type="dxa"/>
              <w:bottom w:w="90" w:type="dxa"/>
              <w:end w:w="120" w:type="dxa"/>
            </w:tcMar>
          </w:tcPr>
          <w:p>
            <w:pPr>
              <w:spacing w:after="20" w:line="240" w:lineRule="auto"/>
            </w:pPr>
            <w:r>
              <w:rPr>
                <w:sz w:val="16"/>
              </w:rPr>
              <w:t>Approved for Q3 planning.</w:t>
            </w:r>
          </w:p>
        </w:tc>
      </w:tr>
    </w:tbl>
    <w:p/>
    <w:p>
      <w:pPr>
        <w:pStyle w:val="Heading1"/>
      </w:pPr>
      <w:r>
        <w:t>3. Decisions and actions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rPr>
          <w:tblHeader w:val="true"/>
        </w:trPr>
        <w:tc>
          <w:tcPr>
            <w:tcW w:type="dxa" w:w="4752"/>
            <w:shd w:fill="1F4E79"/>
            <w:vAlign w:val="center"/>
            <w:tcMar>
              <w:top w:w="90" w:type="dxa"/>
              <w:start w:w="120" w:type="dxa"/>
              <w:bottom w:w="90" w:type="dxa"/>
              <w:end w:w="120" w:type="dxa"/>
            </w:tcMar>
          </w:tcPr>
          <w:p>
            <w:r>
              <w:rPr>
                <w:b/>
                <w:color w:val="FFFFFF"/>
                <w:sz w:val="16"/>
              </w:rPr>
              <w:t>Action</w:t>
            </w:r>
          </w:p>
        </w:tc>
        <w:tc>
          <w:tcPr>
            <w:tcW w:type="dxa" w:w="1728"/>
            <w:shd w:fill="1F4E79"/>
            <w:vAlign w:val="center"/>
            <w:tcMar>
              <w:top w:w="90" w:type="dxa"/>
              <w:start w:w="120" w:type="dxa"/>
              <w:bottom w:w="90" w:type="dxa"/>
              <w:end w:w="120" w:type="dxa"/>
            </w:tcMar>
          </w:tcPr>
          <w:p>
            <w:r>
              <w:rPr>
                <w:b/>
                <w:color w:val="FFFFFF"/>
                <w:sz w:val="16"/>
              </w:rPr>
              <w:t>Owner</w:t>
            </w:r>
          </w:p>
        </w:tc>
        <w:tc>
          <w:tcPr>
            <w:tcW w:type="dxa" w:w="1512"/>
            <w:shd w:fill="1F4E79"/>
            <w:vAlign w:val="center"/>
            <w:tcMar>
              <w:top w:w="90" w:type="dxa"/>
              <w:start w:w="120" w:type="dxa"/>
              <w:bottom w:w="90" w:type="dxa"/>
              <w:end w:w="120" w:type="dxa"/>
            </w:tcMar>
          </w:tcPr>
          <w:p>
            <w:r>
              <w:rPr>
                <w:b/>
                <w:color w:val="FFFFFF"/>
                <w:sz w:val="16"/>
              </w:rPr>
              <w:t>Due</w:t>
            </w:r>
          </w:p>
        </w:tc>
        <w:tc>
          <w:tcPr>
            <w:tcW w:type="dxa" w:w="1800"/>
            <w:shd w:fill="1F4E79"/>
            <w:vAlign w:val="center"/>
            <w:tcMar>
              <w:top w:w="90" w:type="dxa"/>
              <w:start w:w="120" w:type="dxa"/>
              <w:bottom w:w="90" w:type="dxa"/>
              <w:end w:w="120" w:type="dxa"/>
            </w:tcMar>
          </w:tcPr>
          <w:p>
            <w:r>
              <w:rPr>
                <w:b/>
                <w:color w:val="FFFFFF"/>
                <w:sz w:val="16"/>
              </w:rPr>
              <w:t>Decision / resource</w:t>
            </w:r>
          </w:p>
        </w:tc>
      </w:tr>
      <w:tr>
        <w:tc>
          <w:tcPr>
            <w:tcW w:type="dxa" w:w="4752"/>
            <w:vAlign w:val="center"/>
            <w:tcMar>
              <w:top w:w="90" w:type="dxa"/>
              <w:start w:w="120" w:type="dxa"/>
              <w:bottom w:w="90" w:type="dxa"/>
              <w:end w:w="120" w:type="dxa"/>
            </w:tcMar>
          </w:tcPr>
          <w:p>
            <w:pPr>
              <w:spacing w:after="20" w:line="240" w:lineRule="auto"/>
            </w:pPr>
            <w:r>
              <w:rPr>
                <w:sz w:val="16"/>
              </w:rPr>
              <w:t>Close NC-01 by adding traceable review evidence and verify effectiveness.</w:t>
            </w:r>
          </w:p>
        </w:tc>
        <w:tc>
          <w:tcPr>
            <w:tcW w:type="dxa" w:w="1728"/>
            <w:vAlign w:val="center"/>
            <w:tcMar>
              <w:top w:w="90" w:type="dxa"/>
              <w:start w:w="120" w:type="dxa"/>
              <w:bottom w:w="90" w:type="dxa"/>
              <w:end w:w="120" w:type="dxa"/>
            </w:tcMar>
          </w:tcPr>
          <w:p>
            <w:pPr>
              <w:spacing w:after="20" w:line="240" w:lineRule="auto"/>
            </w:pPr>
            <w:r>
              <w:rPr>
                <w:sz w:val="16"/>
              </w:rPr>
              <w:t>ISMS Owner</w:t>
            </w:r>
          </w:p>
        </w:tc>
        <w:tc>
          <w:tcPr>
            <w:tcW w:type="dxa" w:w="1512"/>
            <w:vAlign w:val="center"/>
            <w:tcMar>
              <w:top w:w="90" w:type="dxa"/>
              <w:start w:w="120" w:type="dxa"/>
              <w:bottom w:w="90" w:type="dxa"/>
              <w:end w:w="120" w:type="dxa"/>
            </w:tcMar>
          </w:tcPr>
          <w:p>
            <w:pPr>
              <w:spacing w:after="20" w:line="240" w:lineRule="auto"/>
            </w:pPr>
            <w:r>
              <w:rPr>
                <w:sz w:val="16"/>
              </w:rPr>
              <w:t>31 Aug 2026</w:t>
            </w:r>
          </w:p>
        </w:tc>
        <w:tc>
          <w:tcPr>
            <w:tcW w:type="dxa" w:w="1800"/>
            <w:vAlign w:val="center"/>
            <w:tcMar>
              <w:top w:w="90" w:type="dxa"/>
              <w:start w:w="120" w:type="dxa"/>
              <w:bottom w:w="90" w:type="dxa"/>
              <w:end w:w="120" w:type="dxa"/>
            </w:tcMar>
          </w:tcPr>
          <w:p>
            <w:pPr>
              <w:spacing w:after="20" w:line="240" w:lineRule="auto"/>
            </w:pPr>
            <w:r>
              <w:rPr>
                <w:sz w:val="16"/>
              </w:rPr>
              <w:t>Approved; two working days allocated.</w:t>
            </w:r>
          </w:p>
        </w:tc>
      </w:tr>
      <w:tr>
        <w:tc>
          <w:tcPr>
            <w:tcW w:type="dxa" w:w="4752"/>
            <w:shd w:fill="F6F8FA"/>
            <w:vAlign w:val="center"/>
            <w:tcMar>
              <w:top w:w="90" w:type="dxa"/>
              <w:start w:w="120" w:type="dxa"/>
              <w:bottom w:w="90" w:type="dxa"/>
              <w:end w:w="120" w:type="dxa"/>
            </w:tcMar>
          </w:tcPr>
          <w:p>
            <w:pPr>
              <w:spacing w:after="20" w:line="240" w:lineRule="auto"/>
            </w:pPr>
            <w:r>
              <w:rPr>
                <w:sz w:val="16"/>
              </w:rPr>
              <w:t>Complete cloud configuration monitoring action T-02.</w:t>
            </w:r>
          </w:p>
        </w:tc>
        <w:tc>
          <w:tcPr>
            <w:tcW w:type="dxa" w:w="1728"/>
            <w:shd w:fill="F6F8FA"/>
            <w:vAlign w:val="center"/>
            <w:tcMar>
              <w:top w:w="90" w:type="dxa"/>
              <w:start w:w="120" w:type="dxa"/>
              <w:bottom w:w="90" w:type="dxa"/>
              <w:end w:w="120" w:type="dxa"/>
            </w:tcMar>
          </w:tcPr>
          <w:p>
            <w:pPr>
              <w:spacing w:after="20" w:line="240" w:lineRule="auto"/>
            </w:pPr>
            <w:r>
              <w:rPr>
                <w:sz w:val="16"/>
              </w:rPr>
              <w:t>DevOps Lead</w:t>
            </w:r>
          </w:p>
        </w:tc>
        <w:tc>
          <w:tcPr>
            <w:tcW w:type="dxa" w:w="1512"/>
            <w:shd w:fill="F6F8FA"/>
            <w:vAlign w:val="center"/>
            <w:tcMar>
              <w:top w:w="90" w:type="dxa"/>
              <w:start w:w="120" w:type="dxa"/>
              <w:bottom w:w="90" w:type="dxa"/>
              <w:end w:w="120" w:type="dxa"/>
            </w:tcMar>
          </w:tcPr>
          <w:p>
            <w:pPr>
              <w:spacing w:after="20" w:line="240" w:lineRule="auto"/>
            </w:pPr>
            <w:r>
              <w:rPr>
                <w:sz w:val="16"/>
              </w:rPr>
              <w:t>31 Aug 2026</w:t>
            </w:r>
          </w:p>
        </w:tc>
        <w:tc>
          <w:tcPr>
            <w:tcW w:type="dxa" w:w="1800"/>
            <w:shd w:fill="F6F8FA"/>
            <w:vAlign w:val="center"/>
            <w:tcMar>
              <w:top w:w="90" w:type="dxa"/>
              <w:start w:w="120" w:type="dxa"/>
              <w:bottom w:w="90" w:type="dxa"/>
              <w:end w:w="120" w:type="dxa"/>
            </w:tcMar>
          </w:tcPr>
          <w:p>
            <w:pPr>
              <w:spacing w:after="20" w:line="240" w:lineRule="auto"/>
            </w:pPr>
            <w:r>
              <w:rPr>
                <w:sz w:val="16"/>
              </w:rPr>
              <w:t>Approved tooling and engineering time.</w:t>
            </w:r>
          </w:p>
        </w:tc>
      </w:tr>
      <w:tr>
        <w:tc>
          <w:tcPr>
            <w:tcW w:type="dxa" w:w="4752"/>
            <w:vAlign w:val="center"/>
            <w:tcMar>
              <w:top w:w="90" w:type="dxa"/>
              <w:start w:w="120" w:type="dxa"/>
              <w:bottom w:w="90" w:type="dxa"/>
              <w:end w:w="120" w:type="dxa"/>
            </w:tcMar>
          </w:tcPr>
          <w:p>
            <w:pPr>
              <w:spacing w:after="20" w:line="240" w:lineRule="auto"/>
            </w:pPr>
            <w:r>
              <w:rPr>
                <w:sz w:val="16"/>
              </w:rPr>
              <w:t>Complete supplier assurance and recovery scenario T-03.</w:t>
            </w:r>
          </w:p>
        </w:tc>
        <w:tc>
          <w:tcPr>
            <w:tcW w:type="dxa" w:w="1728"/>
            <w:vAlign w:val="center"/>
            <w:tcMar>
              <w:top w:w="90" w:type="dxa"/>
              <w:start w:w="120" w:type="dxa"/>
              <w:bottom w:w="90" w:type="dxa"/>
              <w:end w:w="120" w:type="dxa"/>
            </w:tcMar>
          </w:tcPr>
          <w:p>
            <w:pPr>
              <w:spacing w:after="20" w:line="240" w:lineRule="auto"/>
            </w:pPr>
            <w:r>
              <w:rPr>
                <w:sz w:val="16"/>
              </w:rPr>
              <w:t>ISMS Owner</w:t>
            </w:r>
          </w:p>
        </w:tc>
        <w:tc>
          <w:tcPr>
            <w:tcW w:type="dxa" w:w="1512"/>
            <w:vAlign w:val="center"/>
            <w:tcMar>
              <w:top w:w="90" w:type="dxa"/>
              <w:start w:w="120" w:type="dxa"/>
              <w:bottom w:w="90" w:type="dxa"/>
              <w:end w:w="120" w:type="dxa"/>
            </w:tcMar>
          </w:tcPr>
          <w:p>
            <w:pPr>
              <w:spacing w:after="20" w:line="240" w:lineRule="auto"/>
            </w:pPr>
            <w:r>
              <w:rPr>
                <w:sz w:val="16"/>
              </w:rPr>
              <w:t>31 Oct 2026</w:t>
            </w:r>
          </w:p>
        </w:tc>
        <w:tc>
          <w:tcPr>
            <w:tcW w:type="dxa" w:w="1800"/>
            <w:vAlign w:val="center"/>
            <w:tcMar>
              <w:top w:w="90" w:type="dxa"/>
              <w:start w:w="120" w:type="dxa"/>
              <w:bottom w:w="90" w:type="dxa"/>
              <w:end w:w="120" w:type="dxa"/>
            </w:tcMar>
          </w:tcPr>
          <w:p>
            <w:pPr>
              <w:spacing w:after="20" w:line="240" w:lineRule="auto"/>
            </w:pPr>
            <w:r>
              <w:rPr>
                <w:sz w:val="16"/>
              </w:rPr>
              <w:t>Approved; procurement support assigned.</w:t>
            </w:r>
          </w:p>
        </w:tc>
      </w:tr>
      <w:tr>
        <w:tc>
          <w:tcPr>
            <w:tcW w:type="dxa" w:w="4752"/>
            <w:shd w:fill="F6F8FA"/>
            <w:vAlign w:val="center"/>
            <w:tcMar>
              <w:top w:w="90" w:type="dxa"/>
              <w:start w:w="120" w:type="dxa"/>
              <w:bottom w:w="90" w:type="dxa"/>
              <w:end w:w="120" w:type="dxa"/>
            </w:tcMar>
          </w:tcPr>
          <w:p>
            <w:pPr>
              <w:spacing w:after="20" w:line="240" w:lineRule="auto"/>
            </w:pPr>
            <w:r>
              <w:rPr>
                <w:sz w:val="16"/>
              </w:rPr>
              <w:t>Run recovery exercise T-07 and report achieved RTO/RPO.</w:t>
            </w:r>
          </w:p>
        </w:tc>
        <w:tc>
          <w:tcPr>
            <w:tcW w:type="dxa" w:w="1728"/>
            <w:shd w:fill="F6F8FA"/>
            <w:vAlign w:val="center"/>
            <w:tcMar>
              <w:top w:w="90" w:type="dxa"/>
              <w:start w:w="120" w:type="dxa"/>
              <w:bottom w:w="90" w:type="dxa"/>
              <w:end w:w="120" w:type="dxa"/>
            </w:tcMar>
          </w:tcPr>
          <w:p>
            <w:pPr>
              <w:spacing w:after="20" w:line="240" w:lineRule="auto"/>
            </w:pPr>
            <w:r>
              <w:rPr>
                <w:sz w:val="16"/>
              </w:rPr>
              <w:t>DevOps Lead</w:t>
            </w:r>
          </w:p>
        </w:tc>
        <w:tc>
          <w:tcPr>
            <w:tcW w:type="dxa" w:w="1512"/>
            <w:shd w:fill="F6F8FA"/>
            <w:vAlign w:val="center"/>
            <w:tcMar>
              <w:top w:w="90" w:type="dxa"/>
              <w:start w:w="120" w:type="dxa"/>
              <w:bottom w:w="90" w:type="dxa"/>
              <w:end w:w="120" w:type="dxa"/>
            </w:tcMar>
          </w:tcPr>
          <w:p>
            <w:pPr>
              <w:spacing w:after="20" w:line="240" w:lineRule="auto"/>
            </w:pPr>
            <w:r>
              <w:rPr>
                <w:sz w:val="16"/>
              </w:rPr>
              <w:t>30 Sep 2026</w:t>
            </w:r>
          </w:p>
        </w:tc>
        <w:tc>
          <w:tcPr>
            <w:tcW w:type="dxa" w:w="1800"/>
            <w:shd w:fill="F6F8FA"/>
            <w:vAlign w:val="center"/>
            <w:tcMar>
              <w:top w:w="90" w:type="dxa"/>
              <w:start w:w="120" w:type="dxa"/>
              <w:bottom w:w="90" w:type="dxa"/>
              <w:end w:w="120" w:type="dxa"/>
            </w:tcMar>
          </w:tcPr>
          <w:p>
            <w:pPr>
              <w:spacing w:after="20" w:line="240" w:lineRule="auto"/>
            </w:pPr>
            <w:r>
              <w:rPr>
                <w:sz w:val="16"/>
              </w:rPr>
              <w:t>Approved.</w:t>
            </w:r>
          </w:p>
        </w:tc>
      </w:tr>
      <w:tr>
        <w:tc>
          <w:tcPr>
            <w:tcW w:type="dxa" w:w="4752"/>
            <w:vAlign w:val="center"/>
            <w:tcMar>
              <w:top w:w="90" w:type="dxa"/>
              <w:start w:w="120" w:type="dxa"/>
              <w:bottom w:w="90" w:type="dxa"/>
              <w:end w:w="120" w:type="dxa"/>
            </w:tcMar>
          </w:tcPr>
          <w:p>
            <w:pPr>
              <w:spacing w:after="20" w:line="240" w:lineRule="auto"/>
            </w:pPr>
            <w:r>
              <w:rPr>
                <w:sz w:val="16"/>
              </w:rPr>
              <w:t>Add an evidence index to SoA v1.1.</w:t>
            </w:r>
          </w:p>
        </w:tc>
        <w:tc>
          <w:tcPr>
            <w:tcW w:type="dxa" w:w="1728"/>
            <w:vAlign w:val="center"/>
            <w:tcMar>
              <w:top w:w="90" w:type="dxa"/>
              <w:start w:w="120" w:type="dxa"/>
              <w:bottom w:w="90" w:type="dxa"/>
              <w:end w:w="120" w:type="dxa"/>
            </w:tcMar>
          </w:tcPr>
          <w:p>
            <w:pPr>
              <w:spacing w:after="20" w:line="240" w:lineRule="auto"/>
            </w:pPr>
            <w:r>
              <w:rPr>
                <w:sz w:val="16"/>
              </w:rPr>
              <w:t>ISMS Owner</w:t>
            </w:r>
          </w:p>
        </w:tc>
        <w:tc>
          <w:tcPr>
            <w:tcW w:type="dxa" w:w="1512"/>
            <w:vAlign w:val="center"/>
            <w:tcMar>
              <w:top w:w="90" w:type="dxa"/>
              <w:start w:w="120" w:type="dxa"/>
              <w:bottom w:w="90" w:type="dxa"/>
              <w:end w:w="120" w:type="dxa"/>
            </w:tcMar>
          </w:tcPr>
          <w:p>
            <w:pPr>
              <w:spacing w:after="20" w:line="240" w:lineRule="auto"/>
            </w:pPr>
            <w:r>
              <w:rPr>
                <w:sz w:val="16"/>
              </w:rPr>
              <w:t>30 Sep 2026</w:t>
            </w:r>
          </w:p>
        </w:tc>
        <w:tc>
          <w:tcPr>
            <w:tcW w:type="dxa" w:w="1800"/>
            <w:vAlign w:val="center"/>
            <w:tcMar>
              <w:top w:w="90" w:type="dxa"/>
              <w:start w:w="120" w:type="dxa"/>
              <w:bottom w:w="90" w:type="dxa"/>
              <w:end w:w="120" w:type="dxa"/>
            </w:tcMar>
          </w:tcPr>
          <w:p>
            <w:pPr>
              <w:spacing w:after="20" w:line="240" w:lineRule="auto"/>
            </w:pPr>
            <w:r>
              <w:rPr>
                <w:sz w:val="16"/>
              </w:rPr>
              <w:t>Approved as improvement.</w:t>
            </w:r>
          </w:p>
        </w:tc>
      </w:tr>
    </w:tbl>
    <w:p/>
    <w:p>
      <w:pPr>
        <w:pStyle w:val="Heading1"/>
      </w:pPr>
      <w:r>
        <w:t>4. Overall conclusion</w:t>
      </w:r>
    </w:p>
    <w:p>
      <w:r>
        <w:t>Management concludes that the ISMS design remains suitable and adequate for the defined portfolio scope. Effectiveness cannot be fully demonstrated until planned operational evidence and corrective actions are completed. No change to scope or policy is approved. Residual High risks remain accepted only until the stated treatment deadlines.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REC-MRM-001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