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Display" w:hAnsi="Aptos Display"/>
          <w:b/>
          <w:color w:val="1F4E79"/>
          <w:sz w:val="48"/>
        </w:rPr>
        <w:t>Corrective Action Register</w:t>
      </w:r>
    </w:p>
    <w:p>
      <w:pPr>
        <w:spacing w:after="280"/>
      </w:pPr>
      <w:r>
        <w:rPr>
          <w:color w:val="5B6573"/>
          <w:sz w:val="24"/>
        </w:rPr>
        <w:t>Veltrixa ApS</w:t>
      </w:r>
    </w:p>
    <w:tbl>
      <w:tblPr>
        <w:tblStyle w:val="TableGrid"/>
        <w:tblW w:type="dxa" w:w="9792"/>
        <w:jc w:val="center"/>
        <w:tblLayout w:type="fixed"/>
        <w:tblLook w:firstColumn="1" w:firstRow="1" w:lastColumn="0" w:lastRow="0" w:noHBand="0" w:noVBand="1" w:val="04A0"/>
      </w:tblPr>
      <w:tblGrid>
        <w:gridCol w:w="2448"/>
        <w:gridCol w:w="2448"/>
        <w:gridCol w:w="2448"/>
        <w:gridCol w:w="2448"/>
      </w:tblGrid>
      <w:tr>
        <w:tc>
          <w:tcPr>
            <w:tcW w:type="dxa" w:w="1728"/>
            <w:shd w:fill="EAF0F6"/>
            <w:vAlign w:val="center"/>
            <w:tcMar>
              <w:top w:w="90" w:type="dxa"/>
              <w:start w:w="120" w:type="dxa"/>
              <w:bottom w:w="90" w:type="dxa"/>
              <w:end w:w="120" w:type="dxa"/>
            </w:tcMar>
          </w:tcPr>
          <w:p>
            <w:r>
              <w:rPr>
                <w:b/>
              </w:rPr>
              <w:t>Document ID</w:t>
            </w:r>
          </w:p>
        </w:tc>
        <w:tc>
          <w:tcPr>
            <w:tcW w:type="dxa" w:w="2952"/>
            <w:shd w:fill="FFFFFF"/>
            <w:vAlign w:val="center"/>
            <w:tcMar>
              <w:top w:w="90" w:type="dxa"/>
              <w:start w:w="120" w:type="dxa"/>
              <w:bottom w:w="90" w:type="dxa"/>
              <w:end w:w="120" w:type="dxa"/>
            </w:tcMar>
          </w:tcPr>
          <w:p>
            <w:r>
              <w:t>REG-CAR-001</w:t>
            </w:r>
          </w:p>
        </w:tc>
        <w:tc>
          <w:tcPr>
            <w:tcW w:type="dxa" w:w="1728"/>
            <w:shd w:fill="EAF0F6"/>
            <w:vAlign w:val="center"/>
            <w:tcMar>
              <w:top w:w="90" w:type="dxa"/>
              <w:start w:w="120" w:type="dxa"/>
              <w:bottom w:w="90" w:type="dxa"/>
              <w:end w:w="120" w:type="dxa"/>
            </w:tcMar>
          </w:tcPr>
          <w:p>
            <w:r>
              <w:rPr>
                <w:b/>
              </w:rPr>
              <w:t>Version</w:t>
            </w:r>
          </w:p>
        </w:tc>
        <w:tc>
          <w:tcPr>
            <w:tcW w:type="dxa" w:w="3384"/>
            <w:shd w:fill="FFFFFF"/>
            <w:vAlign w:val="center"/>
            <w:tcMar>
              <w:top w:w="90" w:type="dxa"/>
              <w:start w:w="120" w:type="dxa"/>
              <w:bottom w:w="90" w:type="dxa"/>
              <w:end w:w="120" w:type="dxa"/>
            </w:tcMar>
          </w:tcPr>
          <w:p>
            <w:r>
              <w:t>1.0</w:t>
            </w:r>
          </w:p>
        </w:tc>
      </w:tr>
      <w:tr>
        <w:tc>
          <w:tcPr>
            <w:tcW w:type="dxa" w:w="1728"/>
            <w:shd w:fill="EAF0F6"/>
            <w:vAlign w:val="center"/>
            <w:tcMar>
              <w:top w:w="90" w:type="dxa"/>
              <w:start w:w="120" w:type="dxa"/>
              <w:bottom w:w="90" w:type="dxa"/>
              <w:end w:w="120" w:type="dxa"/>
            </w:tcMar>
          </w:tcPr>
          <w:p>
            <w:r>
              <w:rPr>
                <w:b/>
              </w:rPr>
              <w:t>Owner</w:t>
            </w:r>
          </w:p>
        </w:tc>
        <w:tc>
          <w:tcPr>
            <w:tcW w:type="dxa" w:w="2952"/>
            <w:shd w:fill="FFFFFF"/>
            <w:vAlign w:val="center"/>
            <w:tcMar>
              <w:top w:w="90" w:type="dxa"/>
              <w:start w:w="120" w:type="dxa"/>
              <w:bottom w:w="90" w:type="dxa"/>
              <w:end w:w="120" w:type="dxa"/>
            </w:tcMar>
          </w:tcPr>
          <w:p>
            <w:r>
              <w:t>ISMS Owner</w:t>
            </w:r>
          </w:p>
        </w:tc>
        <w:tc>
          <w:tcPr>
            <w:tcW w:type="dxa" w:w="1728"/>
            <w:shd w:fill="EAF0F6"/>
            <w:vAlign w:val="center"/>
            <w:tcMar>
              <w:top w:w="90" w:type="dxa"/>
              <w:start w:w="120" w:type="dxa"/>
              <w:bottom w:w="90" w:type="dxa"/>
              <w:end w:w="120" w:type="dxa"/>
            </w:tcMar>
          </w:tcPr>
          <w:p>
            <w:r>
              <w:rPr>
                <w:b/>
              </w:rPr>
              <w:t>Approver</w:t>
            </w:r>
          </w:p>
        </w:tc>
        <w:tc>
          <w:tcPr>
            <w:tcW w:type="dxa" w:w="3384"/>
            <w:shd w:fill="FFFFFF"/>
            <w:vAlign w:val="center"/>
            <w:tcMar>
              <w:top w:w="90" w:type="dxa"/>
              <w:start w:w="120" w:type="dxa"/>
              <w:bottom w:w="90" w:type="dxa"/>
              <w:end w:w="120" w:type="dxa"/>
            </w:tcMar>
          </w:tcPr>
          <w:p>
            <w:r>
              <w:t>CEO</w:t>
            </w:r>
          </w:p>
        </w:tc>
      </w:tr>
      <w:tr>
        <w:tc>
          <w:tcPr>
            <w:tcW w:type="dxa" w:w="1728"/>
            <w:shd w:fill="EAF0F6"/>
            <w:vAlign w:val="center"/>
            <w:tcMar>
              <w:top w:w="90" w:type="dxa"/>
              <w:start w:w="120" w:type="dxa"/>
              <w:bottom w:w="90" w:type="dxa"/>
              <w:end w:w="120" w:type="dxa"/>
            </w:tcMar>
          </w:tcPr>
          <w:p>
            <w:r>
              <w:rPr>
                <w:b/>
              </w:rPr>
              <w:t>Effective date</w:t>
            </w:r>
          </w:p>
        </w:tc>
        <w:tc>
          <w:tcPr>
            <w:tcW w:type="dxa" w:w="2952"/>
            <w:shd w:fill="FFFFFF"/>
            <w:vAlign w:val="center"/>
            <w:tcMar>
              <w:top w:w="90" w:type="dxa"/>
              <w:start w:w="120" w:type="dxa"/>
              <w:bottom w:w="90" w:type="dxa"/>
              <w:end w:w="120" w:type="dxa"/>
            </w:tcMar>
          </w:tcPr>
          <w:p>
            <w:r>
              <w:t>26 July 2026</w:t>
            </w:r>
          </w:p>
        </w:tc>
        <w:tc>
          <w:tcPr>
            <w:tcW w:type="dxa" w:w="1728"/>
            <w:shd w:fill="EAF0F6"/>
            <w:vAlign w:val="center"/>
            <w:tcMar>
              <w:top w:w="90" w:type="dxa"/>
              <w:start w:w="120" w:type="dxa"/>
              <w:bottom w:w="90" w:type="dxa"/>
              <w:end w:w="120" w:type="dxa"/>
            </w:tcMar>
          </w:tcPr>
          <w:p>
            <w:r>
              <w:rPr>
                <w:b/>
              </w:rPr>
              <w:t>Next review</w:t>
            </w:r>
          </w:p>
        </w:tc>
        <w:tc>
          <w:tcPr>
            <w:tcW w:type="dxa" w:w="3384"/>
            <w:shd w:fill="FFFFFF"/>
            <w:vAlign w:val="center"/>
            <w:tcMar>
              <w:top w:w="90" w:type="dxa"/>
              <w:start w:w="120" w:type="dxa"/>
              <w:bottom w:w="90" w:type="dxa"/>
              <w:end w:w="120" w:type="dxa"/>
            </w:tcMar>
          </w:tcPr>
          <w:p>
            <w:r>
              <w:t>26 July 2027</w:t>
            </w:r>
          </w:p>
        </w:tc>
      </w:tr>
      <w:tr>
        <w:tc>
          <w:tcPr>
            <w:tcW w:type="dxa" w:w="1728"/>
            <w:shd w:fill="EAF0F6"/>
            <w:vAlign w:val="center"/>
            <w:tcMar>
              <w:top w:w="90" w:type="dxa"/>
              <w:start w:w="120" w:type="dxa"/>
              <w:bottom w:w="90" w:type="dxa"/>
              <w:end w:w="120" w:type="dxa"/>
            </w:tcMar>
          </w:tcPr>
          <w:p>
            <w:r>
              <w:rPr>
                <w:b/>
              </w:rPr>
              <w:t>Classification</w:t>
            </w:r>
          </w:p>
        </w:tc>
        <w:tc>
          <w:tcPr>
            <w:tcW w:type="dxa" w:w="2952"/>
            <w:shd w:fill="FFFFFF"/>
            <w:vAlign w:val="center"/>
            <w:tcMar>
              <w:top w:w="90" w:type="dxa"/>
              <w:start w:w="120" w:type="dxa"/>
              <w:bottom w:w="90" w:type="dxa"/>
              <w:end w:w="120" w:type="dxa"/>
            </w:tcMar>
          </w:tcPr>
          <w:p>
            <w:r>
              <w:t>Internal / Portfolio</w:t>
            </w:r>
          </w:p>
        </w:tc>
        <w:tc>
          <w:tcPr>
            <w:tcW w:type="dxa" w:w="1728"/>
            <w:shd w:fill="EAF0F6"/>
            <w:vAlign w:val="center"/>
            <w:tcMar>
              <w:top w:w="90" w:type="dxa"/>
              <w:start w:w="120" w:type="dxa"/>
              <w:bottom w:w="90" w:type="dxa"/>
              <w:end w:w="120" w:type="dxa"/>
            </w:tcMar>
          </w:tcPr>
          <w:p>
            <w:r>
              <w:rPr>
                <w:b/>
              </w:rPr>
              <w:t>Status</w:t>
            </w:r>
          </w:p>
        </w:tc>
        <w:tc>
          <w:tcPr>
            <w:tcW w:type="dxa" w:w="3384"/>
            <w:shd w:fill="FFFFFF"/>
            <w:vAlign w:val="center"/>
            <w:tcMar>
              <w:top w:w="90" w:type="dxa"/>
              <w:start w:w="120" w:type="dxa"/>
              <w:bottom w:w="90" w:type="dxa"/>
              <w:end w:w="120" w:type="dxa"/>
            </w:tcMar>
          </w:tcPr>
          <w:p>
            <w:r>
              <w:t>Approved for portfolio use</w:t>
            </w:r>
          </w:p>
        </w:tc>
      </w:tr>
    </w:tbl>
    <w:p/>
    <w:p>
      <w:pPr>
        <w:spacing w:after="200"/>
      </w:pPr>
      <w:r>
        <w:rPr>
          <w:b/>
        </w:rPr>
        <w:t xml:space="preserve">Portfolio note. </w:t>
      </w:r>
      <w:r>
        <w:t>This document is an illustrative ISMS artefact for the fictional company Veltrixa ApS. It demonstrates ISO/IEC 27001:2022 implementation logic; it is not evidence of certification or live operational performance.</w:t>
      </w:r>
    </w:p>
    <w:p>
      <w:pPr>
        <w:pStyle w:val="Heading1"/>
      </w:pPr>
      <w:r>
        <w:t>1. Register</w:t>
      </w:r>
    </w:p>
    <w:tbl>
      <w:tblPr>
        <w:tblStyle w:val="TableGrid"/>
        <w:tblW w:type="dxa" w:w="11520"/>
        <w:jc w:val="center"/>
        <w:tblLayout w:type="fixed"/>
        <w:tblLook w:firstColumn="1" w:firstRow="1" w:lastColumn="0" w:lastRow="0" w:noHBand="0" w:noVBand="1" w:val="04A0"/>
      </w:tblPr>
      <w:tblGrid>
        <w:gridCol w:w="1088"/>
        <w:gridCol w:w="1088"/>
        <w:gridCol w:w="1088"/>
        <w:gridCol w:w="1088"/>
        <w:gridCol w:w="1088"/>
        <w:gridCol w:w="1088"/>
        <w:gridCol w:w="1088"/>
        <w:gridCol w:w="1088"/>
        <w:gridCol w:w="1088"/>
      </w:tblGrid>
      <w:tr>
        <w:trPr>
          <w:tblHeader w:val="true"/>
        </w:trPr>
        <w:tc>
          <w:tcPr>
            <w:tcW w:type="dxa" w:w="648"/>
            <w:shd w:fill="1F4E79"/>
            <w:vAlign w:val="center"/>
            <w:tcMar>
              <w:top w:w="90" w:type="dxa"/>
              <w:start w:w="120" w:type="dxa"/>
              <w:bottom w:w="90" w:type="dxa"/>
              <w:end w:w="120" w:type="dxa"/>
            </w:tcMar>
          </w:tcPr>
          <w:p>
            <w:r>
              <w:rPr>
                <w:b/>
                <w:color w:val="FFFFFF"/>
                <w:sz w:val="13"/>
              </w:rPr>
              <w:t>ID</w:t>
            </w:r>
          </w:p>
        </w:tc>
        <w:tc>
          <w:tcPr>
            <w:tcW w:type="dxa" w:w="1152"/>
            <w:shd w:fill="1F4E79"/>
            <w:vAlign w:val="center"/>
            <w:tcMar>
              <w:top w:w="90" w:type="dxa"/>
              <w:start w:w="120" w:type="dxa"/>
              <w:bottom w:w="90" w:type="dxa"/>
              <w:end w:w="120" w:type="dxa"/>
            </w:tcMar>
          </w:tcPr>
          <w:p>
            <w:r>
              <w:rPr>
                <w:b/>
                <w:color w:val="FFFFFF"/>
                <w:sz w:val="13"/>
              </w:rPr>
              <w:t>Source</w:t>
            </w:r>
          </w:p>
        </w:tc>
        <w:tc>
          <w:tcPr>
            <w:tcW w:type="dxa" w:w="1584"/>
            <w:shd w:fill="1F4E79"/>
            <w:vAlign w:val="center"/>
            <w:tcMar>
              <w:top w:w="90" w:type="dxa"/>
              <w:start w:w="120" w:type="dxa"/>
              <w:bottom w:w="90" w:type="dxa"/>
              <w:end w:w="120" w:type="dxa"/>
            </w:tcMar>
          </w:tcPr>
          <w:p>
            <w:r>
              <w:rPr>
                <w:b/>
                <w:color w:val="FFFFFF"/>
                <w:sz w:val="13"/>
              </w:rPr>
              <w:t>Nonconformity</w:t>
            </w:r>
          </w:p>
        </w:tc>
        <w:tc>
          <w:tcPr>
            <w:tcW w:type="dxa" w:w="1728"/>
            <w:shd w:fill="1F4E79"/>
            <w:vAlign w:val="center"/>
            <w:tcMar>
              <w:top w:w="90" w:type="dxa"/>
              <w:start w:w="120" w:type="dxa"/>
              <w:bottom w:w="90" w:type="dxa"/>
              <w:end w:w="120" w:type="dxa"/>
            </w:tcMar>
          </w:tcPr>
          <w:p>
            <w:r>
              <w:rPr>
                <w:b/>
                <w:color w:val="FFFFFF"/>
                <w:sz w:val="13"/>
              </w:rPr>
              <w:t>Root cause</w:t>
            </w:r>
          </w:p>
        </w:tc>
        <w:tc>
          <w:tcPr>
            <w:tcW w:type="dxa" w:w="1944"/>
            <w:shd w:fill="1F4E79"/>
            <w:vAlign w:val="center"/>
            <w:tcMar>
              <w:top w:w="90" w:type="dxa"/>
              <w:start w:w="120" w:type="dxa"/>
              <w:bottom w:w="90" w:type="dxa"/>
              <w:end w:w="120" w:type="dxa"/>
            </w:tcMar>
          </w:tcPr>
          <w:p>
            <w:r>
              <w:rPr>
                <w:b/>
                <w:color w:val="FFFFFF"/>
                <w:sz w:val="13"/>
              </w:rPr>
              <w:t>Correction / corrective action</w:t>
            </w:r>
          </w:p>
        </w:tc>
        <w:tc>
          <w:tcPr>
            <w:tcW w:type="dxa" w:w="1080"/>
            <w:shd w:fill="1F4E79"/>
            <w:vAlign w:val="center"/>
            <w:tcMar>
              <w:top w:w="90" w:type="dxa"/>
              <w:start w:w="120" w:type="dxa"/>
              <w:bottom w:w="90" w:type="dxa"/>
              <w:end w:w="120" w:type="dxa"/>
            </w:tcMar>
          </w:tcPr>
          <w:p>
            <w:r>
              <w:rPr>
                <w:b/>
                <w:color w:val="FFFFFF"/>
                <w:sz w:val="13"/>
              </w:rPr>
              <w:t>Owner</w:t>
            </w:r>
          </w:p>
        </w:tc>
        <w:tc>
          <w:tcPr>
            <w:tcW w:type="dxa" w:w="936"/>
            <w:shd w:fill="1F4E79"/>
            <w:vAlign w:val="center"/>
            <w:tcMar>
              <w:top w:w="90" w:type="dxa"/>
              <w:start w:w="120" w:type="dxa"/>
              <w:bottom w:w="90" w:type="dxa"/>
              <w:end w:w="120" w:type="dxa"/>
            </w:tcMar>
          </w:tcPr>
          <w:p>
            <w:r>
              <w:rPr>
                <w:b/>
                <w:color w:val="FFFFFF"/>
                <w:sz w:val="13"/>
              </w:rPr>
              <w:t>Due</w:t>
            </w:r>
          </w:p>
        </w:tc>
        <w:tc>
          <w:tcPr>
            <w:tcW w:type="dxa" w:w="864"/>
            <w:shd w:fill="1F4E79"/>
            <w:vAlign w:val="center"/>
            <w:tcMar>
              <w:top w:w="90" w:type="dxa"/>
              <w:start w:w="120" w:type="dxa"/>
              <w:bottom w:w="90" w:type="dxa"/>
              <w:end w:w="120" w:type="dxa"/>
            </w:tcMar>
          </w:tcPr>
          <w:p>
            <w:r>
              <w:rPr>
                <w:b/>
                <w:color w:val="FFFFFF"/>
                <w:sz w:val="13"/>
              </w:rPr>
              <w:t>Status</w:t>
            </w:r>
          </w:p>
        </w:tc>
        <w:tc>
          <w:tcPr>
            <w:tcW w:type="dxa" w:w="1584"/>
            <w:shd w:fill="1F4E79"/>
            <w:vAlign w:val="center"/>
            <w:tcMar>
              <w:top w:w="90" w:type="dxa"/>
              <w:start w:w="120" w:type="dxa"/>
              <w:bottom w:w="90" w:type="dxa"/>
              <w:end w:w="120" w:type="dxa"/>
            </w:tcMar>
          </w:tcPr>
          <w:p>
            <w:r>
              <w:rPr>
                <w:b/>
                <w:color w:val="FFFFFF"/>
                <w:sz w:val="13"/>
              </w:rPr>
              <w:t>Effectiveness review</w:t>
            </w:r>
          </w:p>
        </w:tc>
      </w:tr>
      <w:tr>
        <w:tc>
          <w:tcPr>
            <w:tcW w:type="dxa" w:w="648"/>
            <w:vAlign w:val="center"/>
            <w:tcMar>
              <w:top w:w="90" w:type="dxa"/>
              <w:start w:w="120" w:type="dxa"/>
              <w:bottom w:w="90" w:type="dxa"/>
              <w:end w:w="120" w:type="dxa"/>
            </w:tcMar>
          </w:tcPr>
          <w:p>
            <w:pPr>
              <w:spacing w:after="20" w:line="240" w:lineRule="auto"/>
            </w:pPr>
            <w:r>
              <w:rPr>
                <w:sz w:val="13"/>
              </w:rPr>
              <w:t>CA-01</w:t>
            </w:r>
          </w:p>
        </w:tc>
        <w:tc>
          <w:tcPr>
            <w:tcW w:type="dxa" w:w="1152"/>
            <w:vAlign w:val="center"/>
            <w:tcMar>
              <w:top w:w="90" w:type="dxa"/>
              <w:start w:w="120" w:type="dxa"/>
              <w:bottom w:w="90" w:type="dxa"/>
              <w:end w:w="120" w:type="dxa"/>
            </w:tcMar>
          </w:tcPr>
          <w:p>
            <w:pPr>
              <w:spacing w:after="20" w:line="240" w:lineRule="auto"/>
            </w:pPr>
            <w:r>
              <w:rPr>
                <w:sz w:val="13"/>
              </w:rPr>
              <w:t>NC-01 / Q2 internal audit</w:t>
            </w:r>
          </w:p>
        </w:tc>
        <w:tc>
          <w:tcPr>
            <w:tcW w:type="dxa" w:w="1584"/>
            <w:vAlign w:val="center"/>
            <w:tcMar>
              <w:top w:w="90" w:type="dxa"/>
              <w:start w:w="120" w:type="dxa"/>
              <w:bottom w:w="90" w:type="dxa"/>
              <w:end w:w="120" w:type="dxa"/>
            </w:tcMar>
          </w:tcPr>
          <w:p>
            <w:pPr>
              <w:spacing w:after="20" w:line="240" w:lineRule="auto"/>
            </w:pPr>
            <w:r>
              <w:rPr>
                <w:sz w:val="13"/>
              </w:rPr>
              <w:t>Risk reviews lacked a consistently retained approval record.</w:t>
            </w:r>
          </w:p>
        </w:tc>
        <w:tc>
          <w:tcPr>
            <w:tcW w:type="dxa" w:w="1728"/>
            <w:vAlign w:val="center"/>
            <w:tcMar>
              <w:top w:w="90" w:type="dxa"/>
              <w:start w:w="120" w:type="dxa"/>
              <w:bottom w:w="90" w:type="dxa"/>
              <w:end w:w="120" w:type="dxa"/>
            </w:tcMar>
          </w:tcPr>
          <w:p>
            <w:pPr>
              <w:spacing w:after="20" w:line="240" w:lineRule="auto"/>
            </w:pPr>
            <w:r>
              <w:rPr>
                <w:sz w:val="13"/>
              </w:rPr>
              <w:t>Methodology specified frequency but the register had no review-evidence field or mandatory approval workflow.</w:t>
            </w:r>
          </w:p>
        </w:tc>
        <w:tc>
          <w:tcPr>
            <w:tcW w:type="dxa" w:w="1944"/>
            <w:vAlign w:val="center"/>
            <w:tcMar>
              <w:top w:w="90" w:type="dxa"/>
              <w:start w:w="120" w:type="dxa"/>
              <w:bottom w:w="90" w:type="dxa"/>
              <w:end w:w="120" w:type="dxa"/>
            </w:tcMar>
          </w:tcPr>
          <w:p>
            <w:pPr>
              <w:spacing w:after="20" w:line="240" w:lineRule="auto"/>
            </w:pPr>
            <w:r>
              <w:rPr>
                <w:sz w:val="13"/>
              </w:rPr>
              <w:t>Add review date, reviewer, evidence link and approval field; update methodology and test on four risks.</w:t>
            </w:r>
          </w:p>
        </w:tc>
        <w:tc>
          <w:tcPr>
            <w:tcW w:type="dxa" w:w="1080"/>
            <w:vAlign w:val="center"/>
            <w:tcMar>
              <w:top w:w="90" w:type="dxa"/>
              <w:start w:w="120" w:type="dxa"/>
              <w:bottom w:w="90" w:type="dxa"/>
              <w:end w:w="120" w:type="dxa"/>
            </w:tcMar>
          </w:tcPr>
          <w:p>
            <w:pPr>
              <w:spacing w:after="20" w:line="240" w:lineRule="auto"/>
            </w:pPr>
            <w:r>
              <w:rPr>
                <w:sz w:val="13"/>
              </w:rPr>
              <w:t>ISMS Owner</w:t>
            </w:r>
          </w:p>
        </w:tc>
        <w:tc>
          <w:tcPr>
            <w:tcW w:type="dxa" w:w="936"/>
            <w:vAlign w:val="center"/>
            <w:tcMar>
              <w:top w:w="90" w:type="dxa"/>
              <w:start w:w="120" w:type="dxa"/>
              <w:bottom w:w="90" w:type="dxa"/>
              <w:end w:w="120" w:type="dxa"/>
            </w:tcMar>
          </w:tcPr>
          <w:p>
            <w:pPr>
              <w:spacing w:after="20" w:line="240" w:lineRule="auto"/>
            </w:pPr>
            <w:r>
              <w:rPr>
                <w:sz w:val="13"/>
              </w:rPr>
              <w:t>31 Aug 2026</w:t>
            </w:r>
          </w:p>
        </w:tc>
        <w:tc>
          <w:tcPr>
            <w:tcW w:type="dxa" w:w="864"/>
            <w:vAlign w:val="center"/>
            <w:tcMar>
              <w:top w:w="90" w:type="dxa"/>
              <w:start w:w="120" w:type="dxa"/>
              <w:bottom w:w="90" w:type="dxa"/>
              <w:end w:w="120" w:type="dxa"/>
            </w:tcMar>
          </w:tcPr>
          <w:p>
            <w:pPr>
              <w:spacing w:after="20" w:line="240" w:lineRule="auto"/>
            </w:pPr>
            <w:r>
              <w:rPr>
                <w:sz w:val="13"/>
              </w:rPr>
              <w:t>Open</w:t>
            </w:r>
          </w:p>
        </w:tc>
        <w:tc>
          <w:tcPr>
            <w:tcW w:type="dxa" w:w="1584"/>
            <w:vAlign w:val="center"/>
            <w:tcMar>
              <w:top w:w="90" w:type="dxa"/>
              <w:start w:w="120" w:type="dxa"/>
              <w:bottom w:w="90" w:type="dxa"/>
              <w:end w:w="120" w:type="dxa"/>
            </w:tcMar>
          </w:tcPr>
          <w:p>
            <w:pPr>
              <w:spacing w:after="20" w:line="240" w:lineRule="auto"/>
            </w:pPr>
            <w:r>
              <w:rPr>
                <w:sz w:val="13"/>
              </w:rPr>
              <w:t>Sample four completed reviews and confirm traceability by 15 Sep 2026.</w:t>
            </w:r>
          </w:p>
        </w:tc>
      </w:tr>
      <w:tr>
        <w:tc>
          <w:tcPr>
            <w:tcW w:type="dxa" w:w="648"/>
            <w:shd w:fill="F6F8FA"/>
            <w:vAlign w:val="center"/>
            <w:tcMar>
              <w:top w:w="90" w:type="dxa"/>
              <w:start w:w="120" w:type="dxa"/>
              <w:bottom w:w="90" w:type="dxa"/>
              <w:end w:w="120" w:type="dxa"/>
            </w:tcMar>
          </w:tcPr>
          <w:p>
            <w:pPr>
              <w:spacing w:after="20" w:line="240" w:lineRule="auto"/>
            </w:pPr>
            <w:r>
              <w:rPr>
                <w:sz w:val="13"/>
              </w:rPr>
              <w:t>CA-02</w:t>
            </w:r>
          </w:p>
        </w:tc>
        <w:tc>
          <w:tcPr>
            <w:tcW w:type="dxa" w:w="1152"/>
            <w:shd w:fill="F6F8FA"/>
            <w:vAlign w:val="center"/>
            <w:tcMar>
              <w:top w:w="90" w:type="dxa"/>
              <w:start w:w="120" w:type="dxa"/>
              <w:bottom w:w="90" w:type="dxa"/>
              <w:end w:w="120" w:type="dxa"/>
            </w:tcMar>
          </w:tcPr>
          <w:p>
            <w:pPr>
              <w:spacing w:after="20" w:line="240" w:lineRule="auto"/>
            </w:pPr>
            <w:r>
              <w:rPr>
                <w:sz w:val="13"/>
              </w:rPr>
              <w:t>Objective OBJ-05 below target</w:t>
            </w:r>
          </w:p>
        </w:tc>
        <w:tc>
          <w:tcPr>
            <w:tcW w:type="dxa" w:w="1584"/>
            <w:shd w:fill="F6F8FA"/>
            <w:vAlign w:val="center"/>
            <w:tcMar>
              <w:top w:w="90" w:type="dxa"/>
              <w:start w:w="120" w:type="dxa"/>
              <w:bottom w:w="90" w:type="dxa"/>
              <w:end w:w="120" w:type="dxa"/>
            </w:tcMar>
          </w:tcPr>
          <w:p>
            <w:pPr>
              <w:spacing w:after="20" w:line="240" w:lineRule="auto"/>
            </w:pPr>
            <w:r>
              <w:rPr>
                <w:sz w:val="13"/>
              </w:rPr>
              <w:t>Several actions were forecast to miss the planned internal milestone.</w:t>
            </w:r>
          </w:p>
        </w:tc>
        <w:tc>
          <w:tcPr>
            <w:tcW w:type="dxa" w:w="1728"/>
            <w:shd w:fill="F6F8FA"/>
            <w:vAlign w:val="center"/>
            <w:tcMar>
              <w:top w:w="90" w:type="dxa"/>
              <w:start w:w="120" w:type="dxa"/>
              <w:bottom w:w="90" w:type="dxa"/>
              <w:end w:w="120" w:type="dxa"/>
            </w:tcMar>
          </w:tcPr>
          <w:p>
            <w:pPr>
              <w:spacing w:after="20" w:line="240" w:lineRule="auto"/>
            </w:pPr>
            <w:r>
              <w:rPr>
                <w:sz w:val="13"/>
              </w:rPr>
              <w:t>Owners received no automated reminder and status escalation was informal.</w:t>
            </w:r>
          </w:p>
        </w:tc>
        <w:tc>
          <w:tcPr>
            <w:tcW w:type="dxa" w:w="1944"/>
            <w:shd w:fill="F6F8FA"/>
            <w:vAlign w:val="center"/>
            <w:tcMar>
              <w:top w:w="90" w:type="dxa"/>
              <w:start w:w="120" w:type="dxa"/>
              <w:bottom w:w="90" w:type="dxa"/>
              <w:end w:w="120" w:type="dxa"/>
            </w:tcMar>
          </w:tcPr>
          <w:p>
            <w:pPr>
              <w:spacing w:after="20" w:line="240" w:lineRule="auto"/>
            </w:pPr>
            <w:r>
              <w:rPr>
                <w:sz w:val="13"/>
              </w:rPr>
              <w:t>Introduce monthly action review and reminder workflow; document escalation rule.</w:t>
            </w:r>
          </w:p>
        </w:tc>
        <w:tc>
          <w:tcPr>
            <w:tcW w:type="dxa" w:w="1080"/>
            <w:shd w:fill="F6F8FA"/>
            <w:vAlign w:val="center"/>
            <w:tcMar>
              <w:top w:w="90" w:type="dxa"/>
              <w:start w:w="120" w:type="dxa"/>
              <w:bottom w:w="90" w:type="dxa"/>
              <w:end w:w="120" w:type="dxa"/>
            </w:tcMar>
          </w:tcPr>
          <w:p>
            <w:pPr>
              <w:spacing w:after="20" w:line="240" w:lineRule="auto"/>
            </w:pPr>
            <w:r>
              <w:rPr>
                <w:sz w:val="13"/>
              </w:rPr>
              <w:t>ISMS Owner</w:t>
            </w:r>
          </w:p>
        </w:tc>
        <w:tc>
          <w:tcPr>
            <w:tcW w:type="dxa" w:w="936"/>
            <w:shd w:fill="F6F8FA"/>
            <w:vAlign w:val="center"/>
            <w:tcMar>
              <w:top w:w="90" w:type="dxa"/>
              <w:start w:w="120" w:type="dxa"/>
              <w:bottom w:w="90" w:type="dxa"/>
              <w:end w:w="120" w:type="dxa"/>
            </w:tcMar>
          </w:tcPr>
          <w:p>
            <w:pPr>
              <w:spacing w:after="20" w:line="240" w:lineRule="auto"/>
            </w:pPr>
            <w:r>
              <w:rPr>
                <w:sz w:val="13"/>
              </w:rPr>
              <w:t>15 Sep 2026</w:t>
            </w:r>
          </w:p>
        </w:tc>
        <w:tc>
          <w:tcPr>
            <w:tcW w:type="dxa" w:w="864"/>
            <w:shd w:fill="F6F8FA"/>
            <w:vAlign w:val="center"/>
            <w:tcMar>
              <w:top w:w="90" w:type="dxa"/>
              <w:start w:w="120" w:type="dxa"/>
              <w:bottom w:w="90" w:type="dxa"/>
              <w:end w:w="120" w:type="dxa"/>
            </w:tcMar>
          </w:tcPr>
          <w:p>
            <w:pPr>
              <w:spacing w:after="20" w:line="240" w:lineRule="auto"/>
            </w:pPr>
            <w:r>
              <w:rPr>
                <w:sz w:val="13"/>
              </w:rPr>
              <w:t>In progress</w:t>
            </w:r>
          </w:p>
        </w:tc>
        <w:tc>
          <w:tcPr>
            <w:tcW w:type="dxa" w:w="1584"/>
            <w:shd w:fill="F6F8FA"/>
            <w:vAlign w:val="center"/>
            <w:tcMar>
              <w:top w:w="90" w:type="dxa"/>
              <w:start w:w="120" w:type="dxa"/>
              <w:bottom w:w="90" w:type="dxa"/>
              <w:end w:w="120" w:type="dxa"/>
            </w:tcMar>
          </w:tcPr>
          <w:p>
            <w:pPr>
              <w:spacing w:after="20" w:line="240" w:lineRule="auto"/>
            </w:pPr>
            <w:r>
              <w:rPr>
                <w:sz w:val="13"/>
              </w:rPr>
              <w:t>Two consecutive monthly reviews show ≥90% on-time forecast.</w:t>
            </w:r>
          </w:p>
        </w:tc>
      </w:tr>
    </w:tbl>
    <w:p/>
    <w:p>
      <w:pPr>
        <w:pStyle w:val="Heading1"/>
      </w:pPr>
      <w:r>
        <w:t>2. Closure rule</w:t>
      </w:r>
    </w:p>
    <w:p>
      <w:r>
        <w:t>An action is closed only when the immediate issue is controlled, the root cause has been addressed, required changes are implemented, evidence is retained and an independent or appropriately objective reviewer confirms effectiveness. Ineffective actions are reopened or replaced.</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Internal / Portfolio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B6573"/>
        <w:sz w:val="16"/>
      </w:rPr>
      <w:t>VELTRIXA ApS  |  REG-CAR-001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3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203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