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Display" w:hAnsi="Aptos Display"/>
          <w:b/>
          <w:color w:val="1F4E79"/>
          <w:sz w:val="48"/>
        </w:rPr>
        <w:t>Veltrixa ISMS Portfolio Guide</w:t>
      </w:r>
    </w:p>
    <w:p>
      <w:pPr>
        <w:spacing w:after="280"/>
      </w:pPr>
      <w:r>
        <w:rPr>
          <w:color w:val="5B6573"/>
          <w:sz w:val="24"/>
        </w:rPr>
        <w:t>Veltrixa ApS</w:t>
      </w:r>
    </w:p>
    <w:tbl>
      <w:tblPr>
        <w:tblStyle w:val="TableGrid"/>
        <w:tblW w:type="dxa" w:w="9792"/>
        <w:jc w:val="center"/>
        <w:tblLayout w:type="fixed"/>
        <w:tblLook w:firstColumn="1" w:firstRow="1" w:lastColumn="0" w:lastRow="0" w:noHBand="0" w:noVBand="1" w:val="04A0"/>
      </w:tblPr>
      <w:tblGrid>
        <w:gridCol w:w="2448"/>
        <w:gridCol w:w="2448"/>
        <w:gridCol w:w="2448"/>
        <w:gridCol w:w="2448"/>
      </w:tblGrid>
      <w:tr>
        <w:tc>
          <w:tcPr>
            <w:tcW w:type="dxa" w:w="1728"/>
            <w:shd w:fill="EAF0F6"/>
            <w:vAlign w:val="center"/>
            <w:tcMar>
              <w:top w:w="90" w:type="dxa"/>
              <w:start w:w="120" w:type="dxa"/>
              <w:bottom w:w="90" w:type="dxa"/>
              <w:end w:w="120" w:type="dxa"/>
            </w:tcMar>
          </w:tcPr>
          <w:p>
            <w:r>
              <w:rPr>
                <w:b/>
              </w:rPr>
              <w:t>Document ID</w:t>
            </w:r>
          </w:p>
        </w:tc>
        <w:tc>
          <w:tcPr>
            <w:tcW w:type="dxa" w:w="2952"/>
            <w:shd w:fill="FFFFFF"/>
            <w:vAlign w:val="center"/>
            <w:tcMar>
              <w:top w:w="90" w:type="dxa"/>
              <w:start w:w="120" w:type="dxa"/>
              <w:bottom w:w="90" w:type="dxa"/>
              <w:end w:w="120" w:type="dxa"/>
            </w:tcMar>
          </w:tcPr>
          <w:p>
            <w:r>
              <w:t>PORT-ISMS-001</w:t>
            </w:r>
          </w:p>
        </w:tc>
        <w:tc>
          <w:tcPr>
            <w:tcW w:type="dxa" w:w="1728"/>
            <w:shd w:fill="EAF0F6"/>
            <w:vAlign w:val="center"/>
            <w:tcMar>
              <w:top w:w="90" w:type="dxa"/>
              <w:start w:w="120" w:type="dxa"/>
              <w:bottom w:w="90" w:type="dxa"/>
              <w:end w:w="120" w:type="dxa"/>
            </w:tcMar>
          </w:tcPr>
          <w:p>
            <w:r>
              <w:rPr>
                <w:b/>
              </w:rPr>
              <w:t>Version</w:t>
            </w:r>
          </w:p>
        </w:tc>
        <w:tc>
          <w:tcPr>
            <w:tcW w:type="dxa" w:w="3384"/>
            <w:shd w:fill="FFFFFF"/>
            <w:vAlign w:val="center"/>
            <w:tcMar>
              <w:top w:w="90" w:type="dxa"/>
              <w:start w:w="120" w:type="dxa"/>
              <w:bottom w:w="90" w:type="dxa"/>
              <w:end w:w="120" w:type="dxa"/>
            </w:tcMar>
          </w:tcPr>
          <w:p>
            <w:r>
              <w:t>1.0</w:t>
            </w:r>
          </w:p>
        </w:tc>
      </w:tr>
      <w:tr>
        <w:tc>
          <w:tcPr>
            <w:tcW w:type="dxa" w:w="1728"/>
            <w:shd w:fill="EAF0F6"/>
            <w:vAlign w:val="center"/>
            <w:tcMar>
              <w:top w:w="90" w:type="dxa"/>
              <w:start w:w="120" w:type="dxa"/>
              <w:bottom w:w="90" w:type="dxa"/>
              <w:end w:w="120" w:type="dxa"/>
            </w:tcMar>
          </w:tcPr>
          <w:p>
            <w:r>
              <w:rPr>
                <w:b/>
              </w:rPr>
              <w:t>Owner</w:t>
            </w:r>
          </w:p>
        </w:tc>
        <w:tc>
          <w:tcPr>
            <w:tcW w:type="dxa" w:w="2952"/>
            <w:shd w:fill="FFFFFF"/>
            <w:vAlign w:val="center"/>
            <w:tcMar>
              <w:top w:w="90" w:type="dxa"/>
              <w:start w:w="120" w:type="dxa"/>
              <w:bottom w:w="90" w:type="dxa"/>
              <w:end w:w="120" w:type="dxa"/>
            </w:tcMar>
          </w:tcPr>
          <w:p>
            <w:r>
              <w:t>Portfolio Author</w:t>
            </w:r>
          </w:p>
        </w:tc>
        <w:tc>
          <w:tcPr>
            <w:tcW w:type="dxa" w:w="1728"/>
            <w:shd w:fill="EAF0F6"/>
            <w:vAlign w:val="center"/>
            <w:tcMar>
              <w:top w:w="90" w:type="dxa"/>
              <w:start w:w="120" w:type="dxa"/>
              <w:bottom w:w="90" w:type="dxa"/>
              <w:end w:w="120" w:type="dxa"/>
            </w:tcMar>
          </w:tcPr>
          <w:p>
            <w:r>
              <w:rPr>
                <w:b/>
              </w:rPr>
              <w:t>Approver</w:t>
            </w:r>
          </w:p>
        </w:tc>
        <w:tc>
          <w:tcPr>
            <w:tcW w:type="dxa" w:w="3384"/>
            <w:shd w:fill="FFFFFF"/>
            <w:vAlign w:val="center"/>
            <w:tcMar>
              <w:top w:w="90" w:type="dxa"/>
              <w:start w:w="120" w:type="dxa"/>
              <w:bottom w:w="90" w:type="dxa"/>
              <w:end w:w="120" w:type="dxa"/>
            </w:tcMar>
          </w:tcPr>
          <w:p>
            <w:r>
              <w:t>CEO</w:t>
            </w:r>
          </w:p>
        </w:tc>
      </w:tr>
      <w:tr>
        <w:tc>
          <w:tcPr>
            <w:tcW w:type="dxa" w:w="1728"/>
            <w:shd w:fill="EAF0F6"/>
            <w:vAlign w:val="center"/>
            <w:tcMar>
              <w:top w:w="90" w:type="dxa"/>
              <w:start w:w="120" w:type="dxa"/>
              <w:bottom w:w="90" w:type="dxa"/>
              <w:end w:w="120" w:type="dxa"/>
            </w:tcMar>
          </w:tcPr>
          <w:p>
            <w:r>
              <w:rPr>
                <w:b/>
              </w:rPr>
              <w:t>Effective date</w:t>
            </w:r>
          </w:p>
        </w:tc>
        <w:tc>
          <w:tcPr>
            <w:tcW w:type="dxa" w:w="2952"/>
            <w:shd w:fill="FFFFFF"/>
            <w:vAlign w:val="center"/>
            <w:tcMar>
              <w:top w:w="90" w:type="dxa"/>
              <w:start w:w="120" w:type="dxa"/>
              <w:bottom w:w="90" w:type="dxa"/>
              <w:end w:w="120" w:type="dxa"/>
            </w:tcMar>
          </w:tcPr>
          <w:p>
            <w:r>
              <w:t>26 July 2026</w:t>
            </w:r>
          </w:p>
        </w:tc>
        <w:tc>
          <w:tcPr>
            <w:tcW w:type="dxa" w:w="1728"/>
            <w:shd w:fill="EAF0F6"/>
            <w:vAlign w:val="center"/>
            <w:tcMar>
              <w:top w:w="90" w:type="dxa"/>
              <w:start w:w="120" w:type="dxa"/>
              <w:bottom w:w="90" w:type="dxa"/>
              <w:end w:w="120" w:type="dxa"/>
            </w:tcMar>
          </w:tcPr>
          <w:p>
            <w:r>
              <w:rPr>
                <w:b/>
              </w:rPr>
              <w:t>Next review</w:t>
            </w:r>
          </w:p>
        </w:tc>
        <w:tc>
          <w:tcPr>
            <w:tcW w:type="dxa" w:w="3384"/>
            <w:shd w:fill="FFFFFF"/>
            <w:vAlign w:val="center"/>
            <w:tcMar>
              <w:top w:w="90" w:type="dxa"/>
              <w:start w:w="120" w:type="dxa"/>
              <w:bottom w:w="90" w:type="dxa"/>
              <w:end w:w="120" w:type="dxa"/>
            </w:tcMar>
          </w:tcPr>
          <w:p>
            <w:r>
              <w:t>26 July 2027</w:t>
            </w:r>
          </w:p>
        </w:tc>
      </w:tr>
      <w:tr>
        <w:tc>
          <w:tcPr>
            <w:tcW w:type="dxa" w:w="1728"/>
            <w:shd w:fill="EAF0F6"/>
            <w:vAlign w:val="center"/>
            <w:tcMar>
              <w:top w:w="90" w:type="dxa"/>
              <w:start w:w="120" w:type="dxa"/>
              <w:bottom w:w="90" w:type="dxa"/>
              <w:end w:w="120" w:type="dxa"/>
            </w:tcMar>
          </w:tcPr>
          <w:p>
            <w:r>
              <w:rPr>
                <w:b/>
              </w:rPr>
              <w:t>Classification</w:t>
            </w:r>
          </w:p>
        </w:tc>
        <w:tc>
          <w:tcPr>
            <w:tcW w:type="dxa" w:w="2952"/>
            <w:shd w:fill="FFFFFF"/>
            <w:vAlign w:val="center"/>
            <w:tcMar>
              <w:top w:w="90" w:type="dxa"/>
              <w:start w:w="120" w:type="dxa"/>
              <w:bottom w:w="90" w:type="dxa"/>
              <w:end w:w="120" w:type="dxa"/>
            </w:tcMar>
          </w:tcPr>
          <w:p>
            <w:r>
              <w:t>Public / Portfolio</w:t>
            </w:r>
          </w:p>
        </w:tc>
        <w:tc>
          <w:tcPr>
            <w:tcW w:type="dxa" w:w="1728"/>
            <w:shd w:fill="EAF0F6"/>
            <w:vAlign w:val="center"/>
            <w:tcMar>
              <w:top w:w="90" w:type="dxa"/>
              <w:start w:w="120" w:type="dxa"/>
              <w:bottom w:w="90" w:type="dxa"/>
              <w:end w:w="120" w:type="dxa"/>
            </w:tcMar>
          </w:tcPr>
          <w:p>
            <w:r>
              <w:rPr>
                <w:b/>
              </w:rPr>
              <w:t>Status</w:t>
            </w:r>
          </w:p>
        </w:tc>
        <w:tc>
          <w:tcPr>
            <w:tcW w:type="dxa" w:w="3384"/>
            <w:shd w:fill="FFFFFF"/>
            <w:vAlign w:val="center"/>
            <w:tcMar>
              <w:top w:w="90" w:type="dxa"/>
              <w:start w:w="120" w:type="dxa"/>
              <w:bottom w:w="90" w:type="dxa"/>
              <w:end w:w="120" w:type="dxa"/>
            </w:tcMar>
          </w:tcPr>
          <w:p>
            <w:r>
              <w:t>Approved for portfolio use</w:t>
            </w:r>
          </w:p>
        </w:tc>
      </w:tr>
    </w:tbl>
    <w:p/>
    <w:p>
      <w:pPr>
        <w:spacing w:after="200"/>
      </w:pPr>
      <w:r>
        <w:rPr>
          <w:b/>
        </w:rPr>
        <w:t xml:space="preserve">Portfolio note. </w:t>
      </w:r>
      <w:r>
        <w:t>This document is an illustrative ISMS artefact for the fictional company Veltrixa ApS. It demonstrates ISO/IEC 27001:2022 implementation logic; it is not evidence of certification or live operational performance.</w:t>
      </w:r>
    </w:p>
    <w:p>
      <w:pPr>
        <w:pStyle w:val="Heading1"/>
      </w:pPr>
      <w:r>
        <w:t>1. How to read the package</w:t>
      </w:r>
    </w:p>
    <w:p>
      <w:r>
        <w:t>Start with the ISMS Manual for the system overview. Then follow the risk chain from methodology to register, Statement of Applicability and treatment plan. The remaining artefacts demonstrate how objectives, internal audit, management review and corrective action make the system operational.</w:t>
      </w:r>
    </w:p>
    <w:tbl>
      <w:tblPr>
        <w:tblStyle w:val="TableGrid"/>
        <w:tblW w:type="dxa" w:w="9792"/>
        <w:jc w:val="center"/>
        <w:tblLayout w:type="fixed"/>
        <w:tblLook w:firstColumn="1" w:firstRow="1" w:lastColumn="0" w:lastRow="0" w:noHBand="0" w:noVBand="1" w:val="04A0"/>
      </w:tblPr>
      <w:tblGrid>
        <w:gridCol w:w="3264"/>
        <w:gridCol w:w="3264"/>
        <w:gridCol w:w="3264"/>
      </w:tblGrid>
      <w:tr>
        <w:trPr>
          <w:tblHeader w:val="true"/>
        </w:trPr>
        <w:tc>
          <w:tcPr>
            <w:tcW w:type="dxa" w:w="792"/>
            <w:shd w:fill="1F4E79"/>
            <w:vAlign w:val="center"/>
            <w:tcMar>
              <w:top w:w="90" w:type="dxa"/>
              <w:start w:w="120" w:type="dxa"/>
              <w:bottom w:w="90" w:type="dxa"/>
              <w:end w:w="120" w:type="dxa"/>
            </w:tcMar>
          </w:tcPr>
          <w:p>
            <w:r>
              <w:rPr>
                <w:b/>
                <w:color w:val="FFFFFF"/>
                <w:sz w:val="17"/>
              </w:rPr>
              <w:t>Order</w:t>
            </w:r>
          </w:p>
        </w:tc>
        <w:tc>
          <w:tcPr>
            <w:tcW w:type="dxa" w:w="3096"/>
            <w:shd w:fill="1F4E79"/>
            <w:vAlign w:val="center"/>
            <w:tcMar>
              <w:top w:w="90" w:type="dxa"/>
              <w:start w:w="120" w:type="dxa"/>
              <w:bottom w:w="90" w:type="dxa"/>
              <w:end w:w="120" w:type="dxa"/>
            </w:tcMar>
          </w:tcPr>
          <w:p>
            <w:r>
              <w:rPr>
                <w:b/>
                <w:color w:val="FFFFFF"/>
                <w:sz w:val="17"/>
              </w:rPr>
              <w:t>Document</w:t>
            </w:r>
          </w:p>
        </w:tc>
        <w:tc>
          <w:tcPr>
            <w:tcW w:type="dxa" w:w="5904"/>
            <w:shd w:fill="1F4E79"/>
            <w:vAlign w:val="center"/>
            <w:tcMar>
              <w:top w:w="90" w:type="dxa"/>
              <w:start w:w="120" w:type="dxa"/>
              <w:bottom w:w="90" w:type="dxa"/>
              <w:end w:w="120" w:type="dxa"/>
            </w:tcMar>
          </w:tcPr>
          <w:p>
            <w:r>
              <w:rPr>
                <w:b/>
                <w:color w:val="FFFFFF"/>
                <w:sz w:val="17"/>
              </w:rPr>
              <w:t>What it demonstrates</w:t>
            </w:r>
          </w:p>
        </w:tc>
      </w:tr>
      <w:tr>
        <w:tc>
          <w:tcPr>
            <w:tcW w:type="dxa" w:w="792"/>
            <w:vAlign w:val="center"/>
            <w:tcMar>
              <w:top w:w="90" w:type="dxa"/>
              <w:start w:w="120" w:type="dxa"/>
              <w:bottom w:w="90" w:type="dxa"/>
              <w:end w:w="120" w:type="dxa"/>
            </w:tcMar>
          </w:tcPr>
          <w:p>
            <w:pPr>
              <w:spacing w:after="20" w:line="240" w:lineRule="auto"/>
            </w:pPr>
            <w:r>
              <w:rPr>
                <w:sz w:val="17"/>
              </w:rPr>
              <w:t>1</w:t>
            </w:r>
          </w:p>
        </w:tc>
        <w:tc>
          <w:tcPr>
            <w:tcW w:type="dxa" w:w="3096"/>
            <w:vAlign w:val="center"/>
            <w:tcMar>
              <w:top w:w="90" w:type="dxa"/>
              <w:start w:w="120" w:type="dxa"/>
              <w:bottom w:w="90" w:type="dxa"/>
              <w:end w:w="120" w:type="dxa"/>
            </w:tcMar>
          </w:tcPr>
          <w:p>
            <w:pPr>
              <w:spacing w:after="20" w:line="240" w:lineRule="auto"/>
            </w:pPr>
            <w:r>
              <w:rPr>
                <w:sz w:val="17"/>
              </w:rPr>
              <w:t>ISMS Manual</w:t>
            </w:r>
          </w:p>
        </w:tc>
        <w:tc>
          <w:tcPr>
            <w:tcW w:type="dxa" w:w="5904"/>
            <w:vAlign w:val="center"/>
            <w:tcMar>
              <w:top w:w="90" w:type="dxa"/>
              <w:start w:w="120" w:type="dxa"/>
              <w:bottom w:w="90" w:type="dxa"/>
              <w:end w:w="120" w:type="dxa"/>
            </w:tcMar>
          </w:tcPr>
          <w:p>
            <w:pPr>
              <w:spacing w:after="20" w:line="240" w:lineRule="auto"/>
            </w:pPr>
            <w:r>
              <w:rPr>
                <w:sz w:val="17"/>
              </w:rPr>
              <w:t>Defines the management system and links its controlled information.</w:t>
            </w:r>
          </w:p>
        </w:tc>
      </w:tr>
      <w:tr>
        <w:tc>
          <w:tcPr>
            <w:tcW w:type="dxa" w:w="792"/>
            <w:shd w:fill="F6F8FA"/>
            <w:vAlign w:val="center"/>
            <w:tcMar>
              <w:top w:w="90" w:type="dxa"/>
              <w:start w:w="120" w:type="dxa"/>
              <w:bottom w:w="90" w:type="dxa"/>
              <w:end w:w="120" w:type="dxa"/>
            </w:tcMar>
          </w:tcPr>
          <w:p>
            <w:pPr>
              <w:spacing w:after="20" w:line="240" w:lineRule="auto"/>
            </w:pPr>
            <w:r>
              <w:rPr>
                <w:sz w:val="17"/>
              </w:rPr>
              <w:t>2</w:t>
            </w:r>
          </w:p>
        </w:tc>
        <w:tc>
          <w:tcPr>
            <w:tcW w:type="dxa" w:w="3096"/>
            <w:shd w:fill="F6F8FA"/>
            <w:vAlign w:val="center"/>
            <w:tcMar>
              <w:top w:w="90" w:type="dxa"/>
              <w:start w:w="120" w:type="dxa"/>
              <w:bottom w:w="90" w:type="dxa"/>
              <w:end w:w="120" w:type="dxa"/>
            </w:tcMar>
          </w:tcPr>
          <w:p>
            <w:pPr>
              <w:spacing w:after="20" w:line="240" w:lineRule="auto"/>
            </w:pPr>
            <w:r>
              <w:rPr>
                <w:sz w:val="17"/>
              </w:rPr>
              <w:t>ISMS Scope</w:t>
            </w:r>
          </w:p>
        </w:tc>
        <w:tc>
          <w:tcPr>
            <w:tcW w:type="dxa" w:w="5904"/>
            <w:shd w:fill="F6F8FA"/>
            <w:vAlign w:val="center"/>
            <w:tcMar>
              <w:top w:w="90" w:type="dxa"/>
              <w:start w:w="120" w:type="dxa"/>
              <w:bottom w:w="90" w:type="dxa"/>
              <w:end w:w="120" w:type="dxa"/>
            </w:tcMar>
          </w:tcPr>
          <w:p>
            <w:pPr>
              <w:spacing w:after="20" w:line="240" w:lineRule="auto"/>
            </w:pPr>
            <w:r>
              <w:rPr>
                <w:sz w:val="17"/>
              </w:rPr>
              <w:t>Defines boundaries, interfaces, inclusions and exclusions.</w:t>
            </w:r>
          </w:p>
        </w:tc>
      </w:tr>
      <w:tr>
        <w:tc>
          <w:tcPr>
            <w:tcW w:type="dxa" w:w="792"/>
            <w:vAlign w:val="center"/>
            <w:tcMar>
              <w:top w:w="90" w:type="dxa"/>
              <w:start w:w="120" w:type="dxa"/>
              <w:bottom w:w="90" w:type="dxa"/>
              <w:end w:w="120" w:type="dxa"/>
            </w:tcMar>
          </w:tcPr>
          <w:p>
            <w:pPr>
              <w:spacing w:after="20" w:line="240" w:lineRule="auto"/>
            </w:pPr>
            <w:r>
              <w:rPr>
                <w:sz w:val="17"/>
              </w:rPr>
              <w:t>3</w:t>
            </w:r>
          </w:p>
        </w:tc>
        <w:tc>
          <w:tcPr>
            <w:tcW w:type="dxa" w:w="3096"/>
            <w:vAlign w:val="center"/>
            <w:tcMar>
              <w:top w:w="90" w:type="dxa"/>
              <w:start w:w="120" w:type="dxa"/>
              <w:bottom w:w="90" w:type="dxa"/>
              <w:end w:w="120" w:type="dxa"/>
            </w:tcMar>
          </w:tcPr>
          <w:p>
            <w:pPr>
              <w:spacing w:after="20" w:line="240" w:lineRule="auto"/>
            </w:pPr>
            <w:r>
              <w:rPr>
                <w:sz w:val="17"/>
              </w:rPr>
              <w:t>Information Security Policy</w:t>
            </w:r>
          </w:p>
        </w:tc>
        <w:tc>
          <w:tcPr>
            <w:tcW w:type="dxa" w:w="5904"/>
            <w:vAlign w:val="center"/>
            <w:tcMar>
              <w:top w:w="90" w:type="dxa"/>
              <w:start w:w="120" w:type="dxa"/>
              <w:bottom w:w="90" w:type="dxa"/>
              <w:end w:w="120" w:type="dxa"/>
            </w:tcMar>
          </w:tcPr>
          <w:p>
            <w:pPr>
              <w:spacing w:after="20" w:line="240" w:lineRule="auto"/>
            </w:pPr>
            <w:r>
              <w:rPr>
                <w:sz w:val="17"/>
              </w:rPr>
              <w:t>States management direction and security principles.</w:t>
            </w:r>
          </w:p>
        </w:tc>
      </w:tr>
      <w:tr>
        <w:tc>
          <w:tcPr>
            <w:tcW w:type="dxa" w:w="792"/>
            <w:shd w:fill="F6F8FA"/>
            <w:vAlign w:val="center"/>
            <w:tcMar>
              <w:top w:w="90" w:type="dxa"/>
              <w:start w:w="120" w:type="dxa"/>
              <w:bottom w:w="90" w:type="dxa"/>
              <w:end w:w="120" w:type="dxa"/>
            </w:tcMar>
          </w:tcPr>
          <w:p>
            <w:pPr>
              <w:spacing w:after="20" w:line="240" w:lineRule="auto"/>
            </w:pPr>
            <w:r>
              <w:rPr>
                <w:sz w:val="17"/>
              </w:rPr>
              <w:t>4</w:t>
            </w:r>
          </w:p>
        </w:tc>
        <w:tc>
          <w:tcPr>
            <w:tcW w:type="dxa" w:w="3096"/>
            <w:shd w:fill="F6F8FA"/>
            <w:vAlign w:val="center"/>
            <w:tcMar>
              <w:top w:w="90" w:type="dxa"/>
              <w:start w:w="120" w:type="dxa"/>
              <w:bottom w:w="90" w:type="dxa"/>
              <w:end w:w="120" w:type="dxa"/>
            </w:tcMar>
          </w:tcPr>
          <w:p>
            <w:pPr>
              <w:spacing w:after="20" w:line="240" w:lineRule="auto"/>
            </w:pPr>
            <w:r>
              <w:rPr>
                <w:sz w:val="17"/>
              </w:rPr>
              <w:t>Risk Assessment and Treatment Methodology</w:t>
            </w:r>
          </w:p>
        </w:tc>
        <w:tc>
          <w:tcPr>
            <w:tcW w:type="dxa" w:w="5904"/>
            <w:shd w:fill="F6F8FA"/>
            <w:vAlign w:val="center"/>
            <w:tcMar>
              <w:top w:w="90" w:type="dxa"/>
              <w:start w:w="120" w:type="dxa"/>
              <w:bottom w:w="90" w:type="dxa"/>
              <w:end w:w="120" w:type="dxa"/>
            </w:tcMar>
          </w:tcPr>
          <w:p>
            <w:pPr>
              <w:spacing w:after="20" w:line="240" w:lineRule="auto"/>
            </w:pPr>
            <w:r>
              <w:rPr>
                <w:sz w:val="17"/>
              </w:rPr>
              <w:t>Defines repeatable risk identification, scoring and treatment.</w:t>
            </w:r>
          </w:p>
        </w:tc>
      </w:tr>
      <w:tr>
        <w:tc>
          <w:tcPr>
            <w:tcW w:type="dxa" w:w="792"/>
            <w:vAlign w:val="center"/>
            <w:tcMar>
              <w:top w:w="90" w:type="dxa"/>
              <w:start w:w="120" w:type="dxa"/>
              <w:bottom w:w="90" w:type="dxa"/>
              <w:end w:w="120" w:type="dxa"/>
            </w:tcMar>
          </w:tcPr>
          <w:p>
            <w:pPr>
              <w:spacing w:after="20" w:line="240" w:lineRule="auto"/>
            </w:pPr>
            <w:r>
              <w:rPr>
                <w:sz w:val="17"/>
              </w:rPr>
              <w:t>5</w:t>
            </w:r>
          </w:p>
        </w:tc>
        <w:tc>
          <w:tcPr>
            <w:tcW w:type="dxa" w:w="3096"/>
            <w:vAlign w:val="center"/>
            <w:tcMar>
              <w:top w:w="90" w:type="dxa"/>
              <w:start w:w="120" w:type="dxa"/>
              <w:bottom w:w="90" w:type="dxa"/>
              <w:end w:w="120" w:type="dxa"/>
            </w:tcMar>
          </w:tcPr>
          <w:p>
            <w:pPr>
              <w:spacing w:after="20" w:line="240" w:lineRule="auto"/>
            </w:pPr>
            <w:r>
              <w:rPr>
                <w:sz w:val="17"/>
              </w:rPr>
              <w:t>Information Security Risk Register</w:t>
            </w:r>
          </w:p>
        </w:tc>
        <w:tc>
          <w:tcPr>
            <w:tcW w:type="dxa" w:w="5904"/>
            <w:vAlign w:val="center"/>
            <w:tcMar>
              <w:top w:w="90" w:type="dxa"/>
              <w:start w:w="120" w:type="dxa"/>
              <w:bottom w:w="90" w:type="dxa"/>
              <w:end w:w="120" w:type="dxa"/>
            </w:tcMar>
          </w:tcPr>
          <w:p>
            <w:pPr>
              <w:spacing w:after="20" w:line="240" w:lineRule="auto"/>
            </w:pPr>
            <w:r>
              <w:rPr>
                <w:sz w:val="17"/>
              </w:rPr>
              <w:t>Records assessed risks, owners, controls and residual ratings.</w:t>
            </w:r>
          </w:p>
        </w:tc>
      </w:tr>
      <w:tr>
        <w:tc>
          <w:tcPr>
            <w:tcW w:type="dxa" w:w="792"/>
            <w:shd w:fill="F6F8FA"/>
            <w:vAlign w:val="center"/>
            <w:tcMar>
              <w:top w:w="90" w:type="dxa"/>
              <w:start w:w="120" w:type="dxa"/>
              <w:bottom w:w="90" w:type="dxa"/>
              <w:end w:w="120" w:type="dxa"/>
            </w:tcMar>
          </w:tcPr>
          <w:p>
            <w:pPr>
              <w:spacing w:after="20" w:line="240" w:lineRule="auto"/>
            </w:pPr>
            <w:r>
              <w:rPr>
                <w:sz w:val="17"/>
              </w:rPr>
              <w:t>6</w:t>
            </w:r>
          </w:p>
        </w:tc>
        <w:tc>
          <w:tcPr>
            <w:tcW w:type="dxa" w:w="3096"/>
            <w:shd w:fill="F6F8FA"/>
            <w:vAlign w:val="center"/>
            <w:tcMar>
              <w:top w:w="90" w:type="dxa"/>
              <w:start w:w="120" w:type="dxa"/>
              <w:bottom w:w="90" w:type="dxa"/>
              <w:end w:w="120" w:type="dxa"/>
            </w:tcMar>
          </w:tcPr>
          <w:p>
            <w:pPr>
              <w:spacing w:after="20" w:line="240" w:lineRule="auto"/>
            </w:pPr>
            <w:r>
              <w:rPr>
                <w:sz w:val="17"/>
              </w:rPr>
              <w:t>Statement of Applicability</w:t>
            </w:r>
          </w:p>
        </w:tc>
        <w:tc>
          <w:tcPr>
            <w:tcW w:type="dxa" w:w="5904"/>
            <w:shd w:fill="F6F8FA"/>
            <w:vAlign w:val="center"/>
            <w:tcMar>
              <w:top w:w="90" w:type="dxa"/>
              <w:start w:w="120" w:type="dxa"/>
              <w:bottom w:w="90" w:type="dxa"/>
              <w:end w:w="120" w:type="dxa"/>
            </w:tcMar>
          </w:tcPr>
          <w:p>
            <w:pPr>
              <w:spacing w:after="20" w:line="240" w:lineRule="auto"/>
            </w:pPr>
            <w:r>
              <w:rPr>
                <w:sz w:val="17"/>
              </w:rPr>
              <w:t>Records applicability, justification and implementation status for all Annex A controls.</w:t>
            </w:r>
          </w:p>
        </w:tc>
      </w:tr>
      <w:tr>
        <w:tc>
          <w:tcPr>
            <w:tcW w:type="dxa" w:w="792"/>
            <w:vAlign w:val="center"/>
            <w:tcMar>
              <w:top w:w="90" w:type="dxa"/>
              <w:start w:w="120" w:type="dxa"/>
              <w:bottom w:w="90" w:type="dxa"/>
              <w:end w:w="120" w:type="dxa"/>
            </w:tcMar>
          </w:tcPr>
          <w:p>
            <w:pPr>
              <w:spacing w:after="20" w:line="240" w:lineRule="auto"/>
            </w:pPr>
            <w:r>
              <w:rPr>
                <w:sz w:val="17"/>
              </w:rPr>
              <w:t>7</w:t>
            </w:r>
          </w:p>
        </w:tc>
        <w:tc>
          <w:tcPr>
            <w:tcW w:type="dxa" w:w="3096"/>
            <w:vAlign w:val="center"/>
            <w:tcMar>
              <w:top w:w="90" w:type="dxa"/>
              <w:start w:w="120" w:type="dxa"/>
              <w:bottom w:w="90" w:type="dxa"/>
              <w:end w:w="120" w:type="dxa"/>
            </w:tcMar>
          </w:tcPr>
          <w:p>
            <w:pPr>
              <w:spacing w:after="20" w:line="240" w:lineRule="auto"/>
            </w:pPr>
            <w:r>
              <w:rPr>
                <w:sz w:val="17"/>
              </w:rPr>
              <w:t>Risk Treatment Plan</w:t>
            </w:r>
          </w:p>
        </w:tc>
        <w:tc>
          <w:tcPr>
            <w:tcW w:type="dxa" w:w="5904"/>
            <w:vAlign w:val="center"/>
            <w:tcMar>
              <w:top w:w="90" w:type="dxa"/>
              <w:start w:w="120" w:type="dxa"/>
              <w:bottom w:w="90" w:type="dxa"/>
              <w:end w:w="120" w:type="dxa"/>
            </w:tcMar>
          </w:tcPr>
          <w:p>
            <w:pPr>
              <w:spacing w:after="20" w:line="240" w:lineRule="auto"/>
            </w:pPr>
            <w:r>
              <w:rPr>
                <w:sz w:val="17"/>
              </w:rPr>
              <w:t>Tracks approved treatment actions, owners, deadlines and evidence.</w:t>
            </w:r>
          </w:p>
        </w:tc>
      </w:tr>
      <w:tr>
        <w:tc>
          <w:tcPr>
            <w:tcW w:type="dxa" w:w="792"/>
            <w:shd w:fill="F6F8FA"/>
            <w:vAlign w:val="center"/>
            <w:tcMar>
              <w:top w:w="90" w:type="dxa"/>
              <w:start w:w="120" w:type="dxa"/>
              <w:bottom w:w="90" w:type="dxa"/>
              <w:end w:w="120" w:type="dxa"/>
            </w:tcMar>
          </w:tcPr>
          <w:p>
            <w:pPr>
              <w:spacing w:after="20" w:line="240" w:lineRule="auto"/>
            </w:pPr>
            <w:r>
              <w:rPr>
                <w:sz w:val="17"/>
              </w:rPr>
              <w:t>8</w:t>
            </w:r>
          </w:p>
        </w:tc>
        <w:tc>
          <w:tcPr>
            <w:tcW w:type="dxa" w:w="3096"/>
            <w:shd w:fill="F6F8FA"/>
            <w:vAlign w:val="center"/>
            <w:tcMar>
              <w:top w:w="90" w:type="dxa"/>
              <w:start w:w="120" w:type="dxa"/>
              <w:bottom w:w="90" w:type="dxa"/>
              <w:end w:w="120" w:type="dxa"/>
            </w:tcMar>
          </w:tcPr>
          <w:p>
            <w:pPr>
              <w:spacing w:after="20" w:line="240" w:lineRule="auto"/>
            </w:pPr>
            <w:r>
              <w:rPr>
                <w:sz w:val="17"/>
              </w:rPr>
              <w:t>Information Security Objectives and Monitoring Plan</w:t>
            </w:r>
          </w:p>
        </w:tc>
        <w:tc>
          <w:tcPr>
            <w:tcW w:type="dxa" w:w="5904"/>
            <w:shd w:fill="F6F8FA"/>
            <w:vAlign w:val="center"/>
            <w:tcMar>
              <w:top w:w="90" w:type="dxa"/>
              <w:start w:w="120" w:type="dxa"/>
              <w:bottom w:w="90" w:type="dxa"/>
              <w:end w:w="120" w:type="dxa"/>
            </w:tcMar>
          </w:tcPr>
          <w:p>
            <w:pPr>
              <w:spacing w:after="20" w:line="240" w:lineRule="auto"/>
            </w:pPr>
            <w:r>
              <w:rPr>
                <w:sz w:val="17"/>
              </w:rPr>
              <w:t>Defines measurable objectives, metrics and review cadence.</w:t>
            </w:r>
          </w:p>
        </w:tc>
      </w:tr>
      <w:tr>
        <w:tc>
          <w:tcPr>
            <w:tcW w:type="dxa" w:w="792"/>
            <w:vAlign w:val="center"/>
            <w:tcMar>
              <w:top w:w="90" w:type="dxa"/>
              <w:start w:w="120" w:type="dxa"/>
              <w:bottom w:w="90" w:type="dxa"/>
              <w:end w:w="120" w:type="dxa"/>
            </w:tcMar>
          </w:tcPr>
          <w:p>
            <w:pPr>
              <w:spacing w:after="20" w:line="240" w:lineRule="auto"/>
            </w:pPr>
            <w:r>
              <w:rPr>
                <w:sz w:val="17"/>
              </w:rPr>
              <w:t>9</w:t>
            </w:r>
          </w:p>
        </w:tc>
        <w:tc>
          <w:tcPr>
            <w:tcW w:type="dxa" w:w="3096"/>
            <w:vAlign w:val="center"/>
            <w:tcMar>
              <w:top w:w="90" w:type="dxa"/>
              <w:start w:w="120" w:type="dxa"/>
              <w:bottom w:w="90" w:type="dxa"/>
              <w:end w:w="120" w:type="dxa"/>
            </w:tcMar>
          </w:tcPr>
          <w:p>
            <w:pPr>
              <w:spacing w:after="20" w:line="240" w:lineRule="auto"/>
            </w:pPr>
            <w:r>
              <w:rPr>
                <w:sz w:val="17"/>
              </w:rPr>
              <w:t>Internal Audit Programme and Report</w:t>
            </w:r>
          </w:p>
        </w:tc>
        <w:tc>
          <w:tcPr>
            <w:tcW w:type="dxa" w:w="5904"/>
            <w:vAlign w:val="center"/>
            <w:tcMar>
              <w:top w:w="90" w:type="dxa"/>
              <w:start w:w="120" w:type="dxa"/>
              <w:bottom w:w="90" w:type="dxa"/>
              <w:end w:w="120" w:type="dxa"/>
            </w:tcMar>
          </w:tcPr>
          <w:p>
            <w:pPr>
              <w:spacing w:after="20" w:line="240" w:lineRule="auto"/>
            </w:pPr>
            <w:r>
              <w:rPr>
                <w:sz w:val="17"/>
              </w:rPr>
              <w:t>Plans and records an illustrative internal ISMS audit.</w:t>
            </w:r>
          </w:p>
        </w:tc>
      </w:tr>
      <w:tr>
        <w:tc>
          <w:tcPr>
            <w:tcW w:type="dxa" w:w="792"/>
            <w:shd w:fill="F6F8FA"/>
            <w:vAlign w:val="center"/>
            <w:tcMar>
              <w:top w:w="90" w:type="dxa"/>
              <w:start w:w="120" w:type="dxa"/>
              <w:bottom w:w="90" w:type="dxa"/>
              <w:end w:w="120" w:type="dxa"/>
            </w:tcMar>
          </w:tcPr>
          <w:p>
            <w:pPr>
              <w:spacing w:after="20" w:line="240" w:lineRule="auto"/>
            </w:pPr>
            <w:r>
              <w:rPr>
                <w:sz w:val="17"/>
              </w:rPr>
              <w:t>10</w:t>
            </w:r>
          </w:p>
        </w:tc>
        <w:tc>
          <w:tcPr>
            <w:tcW w:type="dxa" w:w="3096"/>
            <w:shd w:fill="F6F8FA"/>
            <w:vAlign w:val="center"/>
            <w:tcMar>
              <w:top w:w="90" w:type="dxa"/>
              <w:start w:w="120" w:type="dxa"/>
              <w:bottom w:w="90" w:type="dxa"/>
              <w:end w:w="120" w:type="dxa"/>
            </w:tcMar>
          </w:tcPr>
          <w:p>
            <w:pPr>
              <w:spacing w:after="20" w:line="240" w:lineRule="auto"/>
            </w:pPr>
            <w:r>
              <w:rPr>
                <w:sz w:val="17"/>
              </w:rPr>
              <w:t>Management Review Minutes</w:t>
            </w:r>
          </w:p>
        </w:tc>
        <w:tc>
          <w:tcPr>
            <w:tcW w:type="dxa" w:w="5904"/>
            <w:shd w:fill="F6F8FA"/>
            <w:vAlign w:val="center"/>
            <w:tcMar>
              <w:top w:w="90" w:type="dxa"/>
              <w:start w:w="120" w:type="dxa"/>
              <w:bottom w:w="90" w:type="dxa"/>
              <w:end w:w="120" w:type="dxa"/>
            </w:tcMar>
          </w:tcPr>
          <w:p>
            <w:pPr>
              <w:spacing w:after="20" w:line="240" w:lineRule="auto"/>
            </w:pPr>
            <w:r>
              <w:rPr>
                <w:sz w:val="17"/>
              </w:rPr>
              <w:t>Records required management review inputs, decisions and actions.</w:t>
            </w:r>
          </w:p>
        </w:tc>
      </w:tr>
      <w:tr>
        <w:tc>
          <w:tcPr>
            <w:tcW w:type="dxa" w:w="792"/>
            <w:vAlign w:val="center"/>
            <w:tcMar>
              <w:top w:w="90" w:type="dxa"/>
              <w:start w:w="120" w:type="dxa"/>
              <w:bottom w:w="90" w:type="dxa"/>
              <w:end w:w="120" w:type="dxa"/>
            </w:tcMar>
          </w:tcPr>
          <w:p>
            <w:pPr>
              <w:spacing w:after="20" w:line="240" w:lineRule="auto"/>
            </w:pPr>
            <w:r>
              <w:rPr>
                <w:sz w:val="17"/>
              </w:rPr>
              <w:t>11</w:t>
            </w:r>
          </w:p>
        </w:tc>
        <w:tc>
          <w:tcPr>
            <w:tcW w:type="dxa" w:w="3096"/>
            <w:vAlign w:val="center"/>
            <w:tcMar>
              <w:top w:w="90" w:type="dxa"/>
              <w:start w:w="120" w:type="dxa"/>
              <w:bottom w:w="90" w:type="dxa"/>
              <w:end w:w="120" w:type="dxa"/>
            </w:tcMar>
          </w:tcPr>
          <w:p>
            <w:pPr>
              <w:spacing w:after="20" w:line="240" w:lineRule="auto"/>
            </w:pPr>
            <w:r>
              <w:rPr>
                <w:sz w:val="17"/>
              </w:rPr>
              <w:t>Corrective Action Register</w:t>
            </w:r>
          </w:p>
        </w:tc>
        <w:tc>
          <w:tcPr>
            <w:tcW w:type="dxa" w:w="5904"/>
            <w:vAlign w:val="center"/>
            <w:tcMar>
              <w:top w:w="90" w:type="dxa"/>
              <w:start w:w="120" w:type="dxa"/>
              <w:bottom w:w="90" w:type="dxa"/>
              <w:end w:w="120" w:type="dxa"/>
            </w:tcMar>
          </w:tcPr>
          <w:p>
            <w:pPr>
              <w:spacing w:after="20" w:line="240" w:lineRule="auto"/>
            </w:pPr>
            <w:r>
              <w:rPr>
                <w:sz w:val="17"/>
              </w:rPr>
              <w:t>Tracks nonconformities, root causes, actions and effectiveness reviews.</w:t>
            </w:r>
          </w:p>
        </w:tc>
      </w:tr>
    </w:tbl>
    <w:p/>
    <w:p>
      <w:pPr>
        <w:pStyle w:val="Heading1"/>
      </w:pPr>
      <w:r>
        <w:t>2. Traceability chain</w:t>
      </w:r>
    </w:p>
    <w:p>
      <w:r>
        <w:t>Context and requirements → risk methodology → risk register → control selection and SoA → treatment actions → monitoring and objectives → internal audit → management review → corrective action and continual improvement.</w:t>
      </w:r>
    </w:p>
    <w:p>
      <w:pPr>
        <w:pStyle w:val="Heading1"/>
      </w:pPr>
      <w:r>
        <w:t>3. Important limitation</w:t>
      </w:r>
    </w:p>
    <w:p>
      <w:r>
        <w:t>Veltrixa ApS is fictional. The package demonstrates documentation design and ISO/IEC 27001:2022 implementation reasoning. Statements marked implemented describe the portfolio scenario and do not claim that controls were tested in a live organization.</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Public / Portfolio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B6573"/>
        <w:sz w:val="16"/>
      </w:rPr>
      <w:t>VELTRIXA ApS  |  PORT-ISMS-001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203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