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CB2BF" w14:textId="77777777" w:rsidR="0089317D" w:rsidRDefault="00000000">
      <w:pPr>
        <w:spacing w:after="80"/>
      </w:pPr>
      <w:r>
        <w:rPr>
          <w:rFonts w:ascii="Aptos Display" w:hAnsi="Aptos Display"/>
          <w:b/>
          <w:color w:val="1F4E79"/>
          <w:sz w:val="48"/>
        </w:rPr>
        <w:t>ISMS Scope</w:t>
      </w:r>
    </w:p>
    <w:p w14:paraId="0D522D6B" w14:textId="77777777" w:rsidR="0089317D" w:rsidRDefault="00000000">
      <w:pPr>
        <w:spacing w:after="280"/>
      </w:pPr>
      <w:r>
        <w:rPr>
          <w:color w:val="5B6573"/>
          <w:sz w:val="24"/>
        </w:rPr>
        <w:t>Veltrixa ApS</w:t>
      </w:r>
    </w:p>
    <w:tbl>
      <w:tblPr>
        <w:tblStyle w:val="Tabel-Gitter"/>
        <w:tblW w:w="9792" w:type="dxa"/>
        <w:jc w:val="center"/>
        <w:tblLayout w:type="fixed"/>
        <w:tblLook w:val="04A0" w:firstRow="1" w:lastRow="0" w:firstColumn="1" w:lastColumn="0" w:noHBand="0" w:noVBand="1"/>
      </w:tblPr>
      <w:tblGrid>
        <w:gridCol w:w="1728"/>
        <w:gridCol w:w="2952"/>
        <w:gridCol w:w="1728"/>
        <w:gridCol w:w="3384"/>
      </w:tblGrid>
      <w:tr w:rsidR="0089317D" w14:paraId="2604B4FA" w14:textId="77777777">
        <w:trPr>
          <w:jc w:val="center"/>
        </w:trPr>
        <w:tc>
          <w:tcPr>
            <w:tcW w:w="1728" w:type="dxa"/>
            <w:shd w:val="clear" w:color="auto" w:fill="EAF0F6"/>
            <w:tcMar>
              <w:top w:w="90" w:type="dxa"/>
              <w:left w:w="120" w:type="dxa"/>
              <w:bottom w:w="90" w:type="dxa"/>
              <w:right w:w="120" w:type="dxa"/>
            </w:tcMar>
            <w:vAlign w:val="center"/>
          </w:tcPr>
          <w:p w14:paraId="24A52828" w14:textId="77777777" w:rsidR="0089317D" w:rsidRDefault="00000000">
            <w:r>
              <w:rPr>
                <w:b/>
              </w:rPr>
              <w:t>Document ID</w:t>
            </w:r>
          </w:p>
        </w:tc>
        <w:tc>
          <w:tcPr>
            <w:tcW w:w="2952" w:type="dxa"/>
            <w:shd w:val="clear" w:color="auto" w:fill="FFFFFF"/>
            <w:tcMar>
              <w:top w:w="90" w:type="dxa"/>
              <w:left w:w="120" w:type="dxa"/>
              <w:bottom w:w="90" w:type="dxa"/>
              <w:right w:w="120" w:type="dxa"/>
            </w:tcMar>
            <w:vAlign w:val="center"/>
          </w:tcPr>
          <w:p w14:paraId="6F02488A" w14:textId="77777777" w:rsidR="0089317D" w:rsidRDefault="00000000">
            <w:r>
              <w:t>ISMS-002</w:t>
            </w:r>
          </w:p>
        </w:tc>
        <w:tc>
          <w:tcPr>
            <w:tcW w:w="1728" w:type="dxa"/>
            <w:shd w:val="clear" w:color="auto" w:fill="EAF0F6"/>
            <w:tcMar>
              <w:top w:w="90" w:type="dxa"/>
              <w:left w:w="120" w:type="dxa"/>
              <w:bottom w:w="90" w:type="dxa"/>
              <w:right w:w="120" w:type="dxa"/>
            </w:tcMar>
            <w:vAlign w:val="center"/>
          </w:tcPr>
          <w:p w14:paraId="45A5D74F" w14:textId="77777777" w:rsidR="0089317D" w:rsidRDefault="00000000">
            <w:r>
              <w:rPr>
                <w:b/>
              </w:rPr>
              <w:t>Version</w:t>
            </w:r>
          </w:p>
        </w:tc>
        <w:tc>
          <w:tcPr>
            <w:tcW w:w="3384" w:type="dxa"/>
            <w:shd w:val="clear" w:color="auto" w:fill="FFFFFF"/>
            <w:tcMar>
              <w:top w:w="90" w:type="dxa"/>
              <w:left w:w="120" w:type="dxa"/>
              <w:bottom w:w="90" w:type="dxa"/>
              <w:right w:w="120" w:type="dxa"/>
            </w:tcMar>
            <w:vAlign w:val="center"/>
          </w:tcPr>
          <w:p w14:paraId="0641D13D" w14:textId="77777777" w:rsidR="0089317D" w:rsidRDefault="00000000">
            <w:r>
              <w:t>1.0</w:t>
            </w:r>
          </w:p>
        </w:tc>
      </w:tr>
      <w:tr w:rsidR="0089317D" w14:paraId="7E7B1475" w14:textId="77777777">
        <w:trPr>
          <w:jc w:val="center"/>
        </w:trPr>
        <w:tc>
          <w:tcPr>
            <w:tcW w:w="1728" w:type="dxa"/>
            <w:shd w:val="clear" w:color="auto" w:fill="EAF0F6"/>
            <w:tcMar>
              <w:top w:w="90" w:type="dxa"/>
              <w:left w:w="120" w:type="dxa"/>
              <w:bottom w:w="90" w:type="dxa"/>
              <w:right w:w="120" w:type="dxa"/>
            </w:tcMar>
            <w:vAlign w:val="center"/>
          </w:tcPr>
          <w:p w14:paraId="1D9FADEB" w14:textId="77777777" w:rsidR="0089317D" w:rsidRDefault="00000000">
            <w:r>
              <w:rPr>
                <w:b/>
              </w:rPr>
              <w:t>Owner</w:t>
            </w:r>
          </w:p>
        </w:tc>
        <w:tc>
          <w:tcPr>
            <w:tcW w:w="2952" w:type="dxa"/>
            <w:shd w:val="clear" w:color="auto" w:fill="FFFFFF"/>
            <w:tcMar>
              <w:top w:w="90" w:type="dxa"/>
              <w:left w:w="120" w:type="dxa"/>
              <w:bottom w:w="90" w:type="dxa"/>
              <w:right w:w="120" w:type="dxa"/>
            </w:tcMar>
            <w:vAlign w:val="center"/>
          </w:tcPr>
          <w:p w14:paraId="11DFD4B5" w14:textId="77777777" w:rsidR="0089317D" w:rsidRDefault="00000000">
            <w:r>
              <w:t>ISMS Owner</w:t>
            </w:r>
          </w:p>
        </w:tc>
        <w:tc>
          <w:tcPr>
            <w:tcW w:w="1728" w:type="dxa"/>
            <w:shd w:val="clear" w:color="auto" w:fill="EAF0F6"/>
            <w:tcMar>
              <w:top w:w="90" w:type="dxa"/>
              <w:left w:w="120" w:type="dxa"/>
              <w:bottom w:w="90" w:type="dxa"/>
              <w:right w:w="120" w:type="dxa"/>
            </w:tcMar>
            <w:vAlign w:val="center"/>
          </w:tcPr>
          <w:p w14:paraId="52EFF068" w14:textId="77777777" w:rsidR="0089317D" w:rsidRDefault="00000000">
            <w:r>
              <w:rPr>
                <w:b/>
              </w:rPr>
              <w:t>Approver</w:t>
            </w:r>
          </w:p>
        </w:tc>
        <w:tc>
          <w:tcPr>
            <w:tcW w:w="3384" w:type="dxa"/>
            <w:shd w:val="clear" w:color="auto" w:fill="FFFFFF"/>
            <w:tcMar>
              <w:top w:w="90" w:type="dxa"/>
              <w:left w:w="120" w:type="dxa"/>
              <w:bottom w:w="90" w:type="dxa"/>
              <w:right w:w="120" w:type="dxa"/>
            </w:tcMar>
            <w:vAlign w:val="center"/>
          </w:tcPr>
          <w:p w14:paraId="59E698A7" w14:textId="77777777" w:rsidR="0089317D" w:rsidRDefault="00000000">
            <w:r>
              <w:t>CEO</w:t>
            </w:r>
          </w:p>
        </w:tc>
      </w:tr>
      <w:tr w:rsidR="0089317D" w14:paraId="401B0069" w14:textId="77777777">
        <w:trPr>
          <w:jc w:val="center"/>
        </w:trPr>
        <w:tc>
          <w:tcPr>
            <w:tcW w:w="1728" w:type="dxa"/>
            <w:shd w:val="clear" w:color="auto" w:fill="EAF0F6"/>
            <w:tcMar>
              <w:top w:w="90" w:type="dxa"/>
              <w:left w:w="120" w:type="dxa"/>
              <w:bottom w:w="90" w:type="dxa"/>
              <w:right w:w="120" w:type="dxa"/>
            </w:tcMar>
            <w:vAlign w:val="center"/>
          </w:tcPr>
          <w:p w14:paraId="52CCCBE2" w14:textId="77777777" w:rsidR="0089317D" w:rsidRDefault="00000000">
            <w:r>
              <w:rPr>
                <w:b/>
              </w:rPr>
              <w:t>Effective date</w:t>
            </w:r>
          </w:p>
        </w:tc>
        <w:tc>
          <w:tcPr>
            <w:tcW w:w="2952" w:type="dxa"/>
            <w:shd w:val="clear" w:color="auto" w:fill="FFFFFF"/>
            <w:tcMar>
              <w:top w:w="90" w:type="dxa"/>
              <w:left w:w="120" w:type="dxa"/>
              <w:bottom w:w="90" w:type="dxa"/>
              <w:right w:w="120" w:type="dxa"/>
            </w:tcMar>
            <w:vAlign w:val="center"/>
          </w:tcPr>
          <w:p w14:paraId="15B66EDA" w14:textId="77777777" w:rsidR="0089317D" w:rsidRDefault="00000000">
            <w:r>
              <w:t>26 July 2026</w:t>
            </w:r>
          </w:p>
        </w:tc>
        <w:tc>
          <w:tcPr>
            <w:tcW w:w="1728" w:type="dxa"/>
            <w:shd w:val="clear" w:color="auto" w:fill="EAF0F6"/>
            <w:tcMar>
              <w:top w:w="90" w:type="dxa"/>
              <w:left w:w="120" w:type="dxa"/>
              <w:bottom w:w="90" w:type="dxa"/>
              <w:right w:w="120" w:type="dxa"/>
            </w:tcMar>
            <w:vAlign w:val="center"/>
          </w:tcPr>
          <w:p w14:paraId="12C75B31" w14:textId="77777777" w:rsidR="0089317D" w:rsidRDefault="00000000">
            <w:r>
              <w:rPr>
                <w:b/>
              </w:rPr>
              <w:t>Next review</w:t>
            </w:r>
          </w:p>
        </w:tc>
        <w:tc>
          <w:tcPr>
            <w:tcW w:w="3384" w:type="dxa"/>
            <w:shd w:val="clear" w:color="auto" w:fill="FFFFFF"/>
            <w:tcMar>
              <w:top w:w="90" w:type="dxa"/>
              <w:left w:w="120" w:type="dxa"/>
              <w:bottom w:w="90" w:type="dxa"/>
              <w:right w:w="120" w:type="dxa"/>
            </w:tcMar>
            <w:vAlign w:val="center"/>
          </w:tcPr>
          <w:p w14:paraId="050230E9" w14:textId="77777777" w:rsidR="0089317D" w:rsidRDefault="00000000">
            <w:r>
              <w:t>26 July 2027</w:t>
            </w:r>
          </w:p>
        </w:tc>
      </w:tr>
      <w:tr w:rsidR="0089317D" w14:paraId="4BC1D7C5" w14:textId="77777777">
        <w:trPr>
          <w:jc w:val="center"/>
        </w:trPr>
        <w:tc>
          <w:tcPr>
            <w:tcW w:w="1728" w:type="dxa"/>
            <w:shd w:val="clear" w:color="auto" w:fill="EAF0F6"/>
            <w:tcMar>
              <w:top w:w="90" w:type="dxa"/>
              <w:left w:w="120" w:type="dxa"/>
              <w:bottom w:w="90" w:type="dxa"/>
              <w:right w:w="120" w:type="dxa"/>
            </w:tcMar>
            <w:vAlign w:val="center"/>
          </w:tcPr>
          <w:p w14:paraId="66EB8499" w14:textId="77777777" w:rsidR="0089317D" w:rsidRDefault="00000000">
            <w:r>
              <w:rPr>
                <w:b/>
              </w:rPr>
              <w:t>Classification</w:t>
            </w:r>
          </w:p>
        </w:tc>
        <w:tc>
          <w:tcPr>
            <w:tcW w:w="2952" w:type="dxa"/>
            <w:shd w:val="clear" w:color="auto" w:fill="FFFFFF"/>
            <w:tcMar>
              <w:top w:w="90" w:type="dxa"/>
              <w:left w:w="120" w:type="dxa"/>
              <w:bottom w:w="90" w:type="dxa"/>
              <w:right w:w="120" w:type="dxa"/>
            </w:tcMar>
            <w:vAlign w:val="center"/>
          </w:tcPr>
          <w:p w14:paraId="744AD438" w14:textId="77777777" w:rsidR="0089317D" w:rsidRDefault="00000000">
            <w:r>
              <w:t>Internal / Portfolio</w:t>
            </w:r>
          </w:p>
        </w:tc>
        <w:tc>
          <w:tcPr>
            <w:tcW w:w="1728" w:type="dxa"/>
            <w:shd w:val="clear" w:color="auto" w:fill="EAF0F6"/>
            <w:tcMar>
              <w:top w:w="90" w:type="dxa"/>
              <w:left w:w="120" w:type="dxa"/>
              <w:bottom w:w="90" w:type="dxa"/>
              <w:right w:w="120" w:type="dxa"/>
            </w:tcMar>
            <w:vAlign w:val="center"/>
          </w:tcPr>
          <w:p w14:paraId="75BC6519" w14:textId="77777777" w:rsidR="0089317D" w:rsidRDefault="00000000">
            <w:r>
              <w:rPr>
                <w:b/>
              </w:rPr>
              <w:t>Status</w:t>
            </w:r>
          </w:p>
        </w:tc>
        <w:tc>
          <w:tcPr>
            <w:tcW w:w="3384" w:type="dxa"/>
            <w:shd w:val="clear" w:color="auto" w:fill="FFFFFF"/>
            <w:tcMar>
              <w:top w:w="90" w:type="dxa"/>
              <w:left w:w="120" w:type="dxa"/>
              <w:bottom w:w="90" w:type="dxa"/>
              <w:right w:w="120" w:type="dxa"/>
            </w:tcMar>
            <w:vAlign w:val="center"/>
          </w:tcPr>
          <w:p w14:paraId="577F5A8E" w14:textId="77777777" w:rsidR="0089317D" w:rsidRDefault="00000000">
            <w:r>
              <w:t>Approved for portfolio use</w:t>
            </w:r>
          </w:p>
        </w:tc>
      </w:tr>
    </w:tbl>
    <w:p w14:paraId="667F86C4" w14:textId="77777777" w:rsidR="0089317D" w:rsidRDefault="0089317D"/>
    <w:p w14:paraId="4562041D" w14:textId="77777777" w:rsidR="0089317D" w:rsidRDefault="00000000">
      <w:pPr>
        <w:spacing w:after="200"/>
      </w:pPr>
      <w:r>
        <w:rPr>
          <w:b/>
        </w:rPr>
        <w:t xml:space="preserve">Portfolio note. </w:t>
      </w:r>
      <w:r>
        <w:t>This document is an illustrative ISMS artefact for the fictional company Veltrixa ApS. It demonstrates ISO/IEC 27001:2022 implementation logic; it is not evidence of certification or live operational performance.</w:t>
      </w:r>
    </w:p>
    <w:p w14:paraId="5C44B07D" w14:textId="77777777" w:rsidR="0089317D" w:rsidRDefault="00000000">
      <w:pPr>
        <w:pStyle w:val="Overskrift1"/>
      </w:pPr>
      <w:r>
        <w:t>1. Scope statement</w:t>
      </w:r>
    </w:p>
    <w:p w14:paraId="52339116" w14:textId="77777777" w:rsidR="0089317D" w:rsidRDefault="00000000">
      <w:r>
        <w:t>The Information Security Management System covers the design, development, operation, monitoring and support of Veltrixa’s AI-assisted cloud document-classification SaaS service, including the people, processes, information and technology used to deliver the service from Veltrixa’s Danish legal entity and remote working locations.</w:t>
      </w:r>
    </w:p>
    <w:p w14:paraId="1F51E57E" w14:textId="77777777" w:rsidR="0089317D" w:rsidRDefault="00000000">
      <w:pPr>
        <w:pStyle w:val="Overskrift1"/>
      </w:pPr>
      <w:r>
        <w:t>2. Included organizational functions</w:t>
      </w:r>
    </w:p>
    <w:p w14:paraId="23DDC6DA" w14:textId="77777777" w:rsidR="0089317D" w:rsidRDefault="00000000">
      <w:pPr>
        <w:pStyle w:val="Opstilling-punkttegn"/>
      </w:pPr>
      <w:r>
        <w:t>Executive management and ISMS governance</w:t>
      </w:r>
    </w:p>
    <w:p w14:paraId="0E2255E4" w14:textId="77777777" w:rsidR="0089317D" w:rsidRDefault="00000000">
      <w:pPr>
        <w:pStyle w:val="Opstilling-punkttegn"/>
      </w:pPr>
      <w:r>
        <w:t>Engineering and product development</w:t>
      </w:r>
    </w:p>
    <w:p w14:paraId="5645C440" w14:textId="77777777" w:rsidR="0089317D" w:rsidRDefault="00000000">
      <w:pPr>
        <w:pStyle w:val="Opstilling-punkttegn"/>
      </w:pPr>
      <w:r>
        <w:t>Cloud operations and service reliability</w:t>
      </w:r>
    </w:p>
    <w:p w14:paraId="4D869C79" w14:textId="77777777" w:rsidR="0089317D" w:rsidRDefault="00000000">
      <w:pPr>
        <w:pStyle w:val="Opstilling-punkttegn"/>
      </w:pPr>
      <w:r>
        <w:t>Customer support and account administration</w:t>
      </w:r>
    </w:p>
    <w:p w14:paraId="402DA3E6" w14:textId="77777777" w:rsidR="0089317D" w:rsidRDefault="00000000">
      <w:pPr>
        <w:pStyle w:val="Opstilling-punkttegn"/>
      </w:pPr>
      <w:r>
        <w:t>People operations, procurement and supplier management</w:t>
      </w:r>
    </w:p>
    <w:p w14:paraId="31F59582" w14:textId="77777777" w:rsidR="0089317D" w:rsidRDefault="00000000">
      <w:pPr>
        <w:pStyle w:val="Opstilling-punkttegn"/>
      </w:pPr>
      <w:r>
        <w:t>Privacy and compliance activities supporting the service</w:t>
      </w:r>
    </w:p>
    <w:p w14:paraId="357565BB" w14:textId="77777777" w:rsidR="0089317D" w:rsidRDefault="00000000">
      <w:pPr>
        <w:pStyle w:val="Overskrift1"/>
      </w:pPr>
      <w:r>
        <w:t>3. Included information and technology</w:t>
      </w:r>
    </w:p>
    <w:p w14:paraId="73CC980A" w14:textId="77777777" w:rsidR="0089317D" w:rsidRDefault="00000000">
      <w:pPr>
        <w:pStyle w:val="Opstilling-punkttegn"/>
      </w:pPr>
      <w:r>
        <w:t>Customer content and account data processed by the service</w:t>
      </w:r>
    </w:p>
    <w:p w14:paraId="0AF1A10F" w14:textId="77777777" w:rsidR="0089317D" w:rsidRDefault="00000000">
      <w:pPr>
        <w:pStyle w:val="Opstilling-punkttegn"/>
      </w:pPr>
      <w:r>
        <w:t>Source code, build pipelines and development artefacts</w:t>
      </w:r>
    </w:p>
    <w:p w14:paraId="72BC85CD" w14:textId="77777777" w:rsidR="0089317D" w:rsidRDefault="00000000">
      <w:pPr>
        <w:pStyle w:val="Opstilling-punkttegn"/>
      </w:pPr>
      <w:r>
        <w:t>Production and non-production cloud environments</w:t>
      </w:r>
    </w:p>
    <w:p w14:paraId="45660302" w14:textId="77777777" w:rsidR="0089317D" w:rsidRDefault="00000000">
      <w:pPr>
        <w:pStyle w:val="Opstilling-punkttegn"/>
      </w:pPr>
      <w:r>
        <w:t>Identity, endpoint, collaboration, monitoring and support systems</w:t>
      </w:r>
    </w:p>
    <w:p w14:paraId="758E2F2D" w14:textId="77777777" w:rsidR="0089317D" w:rsidRDefault="00000000">
      <w:pPr>
        <w:pStyle w:val="Opstilling-punkttegn"/>
      </w:pPr>
      <w:r>
        <w:t>Backups, logs, configuration records and security evidence</w:t>
      </w:r>
    </w:p>
    <w:p w14:paraId="6AB4CE2D" w14:textId="77777777" w:rsidR="0089317D" w:rsidRDefault="00000000">
      <w:pPr>
        <w:pStyle w:val="Overskrift1"/>
      </w:pPr>
      <w:r>
        <w:lastRenderedPageBreak/>
        <w:t>4. Interfaces and dependencies</w:t>
      </w:r>
    </w:p>
    <w:tbl>
      <w:tblPr>
        <w:tblStyle w:val="Tabel-Gitter"/>
        <w:tblW w:w="9792" w:type="dxa"/>
        <w:jc w:val="center"/>
        <w:tblLayout w:type="fixed"/>
        <w:tblLook w:val="04A0" w:firstRow="1" w:lastRow="0" w:firstColumn="1" w:lastColumn="0" w:noHBand="0" w:noVBand="1"/>
      </w:tblPr>
      <w:tblGrid>
        <w:gridCol w:w="2880"/>
        <w:gridCol w:w="6912"/>
      </w:tblGrid>
      <w:tr w:rsidR="0089317D" w14:paraId="4AC53603" w14:textId="77777777">
        <w:trPr>
          <w:tblHeader/>
          <w:jc w:val="center"/>
        </w:trPr>
        <w:tc>
          <w:tcPr>
            <w:tcW w:w="2880" w:type="dxa"/>
            <w:shd w:val="clear" w:color="auto" w:fill="1F4E79"/>
            <w:tcMar>
              <w:top w:w="90" w:type="dxa"/>
              <w:left w:w="120" w:type="dxa"/>
              <w:bottom w:w="90" w:type="dxa"/>
              <w:right w:w="120" w:type="dxa"/>
            </w:tcMar>
            <w:vAlign w:val="center"/>
          </w:tcPr>
          <w:p w14:paraId="355685DD" w14:textId="77777777" w:rsidR="0089317D" w:rsidRDefault="00000000">
            <w:r>
              <w:rPr>
                <w:b/>
                <w:color w:val="FFFFFF"/>
                <w:sz w:val="18"/>
              </w:rPr>
              <w:t>Interface or dependency</w:t>
            </w:r>
          </w:p>
        </w:tc>
        <w:tc>
          <w:tcPr>
            <w:tcW w:w="6912" w:type="dxa"/>
            <w:shd w:val="clear" w:color="auto" w:fill="1F4E79"/>
            <w:tcMar>
              <w:top w:w="90" w:type="dxa"/>
              <w:left w:w="120" w:type="dxa"/>
              <w:bottom w:w="90" w:type="dxa"/>
              <w:right w:w="120" w:type="dxa"/>
            </w:tcMar>
            <w:vAlign w:val="center"/>
          </w:tcPr>
          <w:p w14:paraId="535A503E" w14:textId="77777777" w:rsidR="0089317D" w:rsidRDefault="00000000">
            <w:r>
              <w:rPr>
                <w:b/>
                <w:color w:val="FFFFFF"/>
                <w:sz w:val="18"/>
              </w:rPr>
              <w:t>Boundary treatment</w:t>
            </w:r>
          </w:p>
        </w:tc>
      </w:tr>
      <w:tr w:rsidR="0089317D" w14:paraId="2A25CDE1" w14:textId="77777777">
        <w:trPr>
          <w:jc w:val="center"/>
        </w:trPr>
        <w:tc>
          <w:tcPr>
            <w:tcW w:w="2880" w:type="dxa"/>
            <w:tcMar>
              <w:top w:w="90" w:type="dxa"/>
              <w:left w:w="120" w:type="dxa"/>
              <w:bottom w:w="90" w:type="dxa"/>
              <w:right w:w="120" w:type="dxa"/>
            </w:tcMar>
            <w:vAlign w:val="center"/>
          </w:tcPr>
          <w:p w14:paraId="0AB5E29E" w14:textId="77777777" w:rsidR="0089317D" w:rsidRDefault="00000000">
            <w:pPr>
              <w:spacing w:after="20" w:line="240" w:lineRule="auto"/>
            </w:pPr>
            <w:r>
              <w:rPr>
                <w:sz w:val="18"/>
              </w:rPr>
              <w:t>AWS cloud services</w:t>
            </w:r>
          </w:p>
        </w:tc>
        <w:tc>
          <w:tcPr>
            <w:tcW w:w="6912" w:type="dxa"/>
            <w:tcMar>
              <w:top w:w="90" w:type="dxa"/>
              <w:left w:w="120" w:type="dxa"/>
              <w:bottom w:w="90" w:type="dxa"/>
              <w:right w:w="120" w:type="dxa"/>
            </w:tcMar>
            <w:vAlign w:val="center"/>
          </w:tcPr>
          <w:p w14:paraId="7EC36C7C" w14:textId="77777777" w:rsidR="0089317D" w:rsidRDefault="00000000">
            <w:pPr>
              <w:spacing w:after="20" w:line="240" w:lineRule="auto"/>
            </w:pPr>
            <w:r>
              <w:rPr>
                <w:sz w:val="18"/>
              </w:rPr>
              <w:t>Within the ISMS as a critical supplier; underlying physical facilities are operated by AWS under shared responsibility.</w:t>
            </w:r>
          </w:p>
        </w:tc>
      </w:tr>
      <w:tr w:rsidR="0089317D" w14:paraId="74470C81" w14:textId="77777777">
        <w:trPr>
          <w:jc w:val="center"/>
        </w:trPr>
        <w:tc>
          <w:tcPr>
            <w:tcW w:w="2880" w:type="dxa"/>
            <w:shd w:val="clear" w:color="auto" w:fill="F6F8FA"/>
            <w:tcMar>
              <w:top w:w="90" w:type="dxa"/>
              <w:left w:w="120" w:type="dxa"/>
              <w:bottom w:w="90" w:type="dxa"/>
              <w:right w:w="120" w:type="dxa"/>
            </w:tcMar>
            <w:vAlign w:val="center"/>
          </w:tcPr>
          <w:p w14:paraId="0757FBE5" w14:textId="77777777" w:rsidR="0089317D" w:rsidRDefault="00000000">
            <w:pPr>
              <w:spacing w:after="20" w:line="240" w:lineRule="auto"/>
            </w:pPr>
            <w:r>
              <w:rPr>
                <w:sz w:val="18"/>
              </w:rPr>
              <w:t>External SaaS suppliers</w:t>
            </w:r>
          </w:p>
        </w:tc>
        <w:tc>
          <w:tcPr>
            <w:tcW w:w="6912" w:type="dxa"/>
            <w:shd w:val="clear" w:color="auto" w:fill="F6F8FA"/>
            <w:tcMar>
              <w:top w:w="90" w:type="dxa"/>
              <w:left w:w="120" w:type="dxa"/>
              <w:bottom w:w="90" w:type="dxa"/>
              <w:right w:w="120" w:type="dxa"/>
            </w:tcMar>
            <w:vAlign w:val="center"/>
          </w:tcPr>
          <w:p w14:paraId="55673AC9" w14:textId="77777777" w:rsidR="0089317D" w:rsidRDefault="00000000">
            <w:pPr>
              <w:spacing w:after="20" w:line="240" w:lineRule="auto"/>
            </w:pPr>
            <w:r>
              <w:rPr>
                <w:sz w:val="18"/>
              </w:rPr>
              <w:t>Governed through selection, contracts, access restriction, monitoring and exit planning.</w:t>
            </w:r>
          </w:p>
        </w:tc>
      </w:tr>
      <w:tr w:rsidR="0089317D" w14:paraId="27EF365C" w14:textId="77777777">
        <w:trPr>
          <w:jc w:val="center"/>
        </w:trPr>
        <w:tc>
          <w:tcPr>
            <w:tcW w:w="2880" w:type="dxa"/>
            <w:tcMar>
              <w:top w:w="90" w:type="dxa"/>
              <w:left w:w="120" w:type="dxa"/>
              <w:bottom w:w="90" w:type="dxa"/>
              <w:right w:w="120" w:type="dxa"/>
            </w:tcMar>
            <w:vAlign w:val="center"/>
          </w:tcPr>
          <w:p w14:paraId="64B7A8BF" w14:textId="77777777" w:rsidR="0089317D" w:rsidRDefault="00000000">
            <w:pPr>
              <w:spacing w:after="20" w:line="240" w:lineRule="auto"/>
            </w:pPr>
            <w:r>
              <w:rPr>
                <w:sz w:val="18"/>
              </w:rPr>
              <w:t>Customer environments</w:t>
            </w:r>
          </w:p>
        </w:tc>
        <w:tc>
          <w:tcPr>
            <w:tcW w:w="6912" w:type="dxa"/>
            <w:tcMar>
              <w:top w:w="90" w:type="dxa"/>
              <w:left w:w="120" w:type="dxa"/>
              <w:bottom w:w="90" w:type="dxa"/>
              <w:right w:w="120" w:type="dxa"/>
            </w:tcMar>
            <w:vAlign w:val="center"/>
          </w:tcPr>
          <w:p w14:paraId="74D19933" w14:textId="77777777" w:rsidR="0089317D" w:rsidRDefault="00000000">
            <w:pPr>
              <w:spacing w:after="20" w:line="240" w:lineRule="auto"/>
            </w:pPr>
            <w:r>
              <w:rPr>
                <w:sz w:val="18"/>
              </w:rPr>
              <w:t>Outside Veltrixa’s operational control; security responsibilities are defined contractually and in service guidance.</w:t>
            </w:r>
          </w:p>
        </w:tc>
      </w:tr>
      <w:tr w:rsidR="0089317D" w14:paraId="24372EE9" w14:textId="77777777">
        <w:trPr>
          <w:jc w:val="center"/>
        </w:trPr>
        <w:tc>
          <w:tcPr>
            <w:tcW w:w="2880" w:type="dxa"/>
            <w:shd w:val="clear" w:color="auto" w:fill="F6F8FA"/>
            <w:tcMar>
              <w:top w:w="90" w:type="dxa"/>
              <w:left w:w="120" w:type="dxa"/>
              <w:bottom w:w="90" w:type="dxa"/>
              <w:right w:w="120" w:type="dxa"/>
            </w:tcMar>
            <w:vAlign w:val="center"/>
          </w:tcPr>
          <w:p w14:paraId="1F053294" w14:textId="77777777" w:rsidR="0089317D" w:rsidRDefault="00000000">
            <w:pPr>
              <w:spacing w:after="20" w:line="240" w:lineRule="auto"/>
            </w:pPr>
            <w:r>
              <w:rPr>
                <w:sz w:val="18"/>
              </w:rPr>
              <w:t>Home and coworking locations</w:t>
            </w:r>
          </w:p>
        </w:tc>
        <w:tc>
          <w:tcPr>
            <w:tcW w:w="6912" w:type="dxa"/>
            <w:shd w:val="clear" w:color="auto" w:fill="F6F8FA"/>
            <w:tcMar>
              <w:top w:w="90" w:type="dxa"/>
              <w:left w:w="120" w:type="dxa"/>
              <w:bottom w:w="90" w:type="dxa"/>
              <w:right w:w="120" w:type="dxa"/>
            </w:tcMar>
            <w:vAlign w:val="center"/>
          </w:tcPr>
          <w:p w14:paraId="2572125D" w14:textId="77777777" w:rsidR="0089317D" w:rsidRDefault="00000000">
            <w:pPr>
              <w:spacing w:after="20" w:line="240" w:lineRule="auto"/>
            </w:pPr>
            <w:r>
              <w:rPr>
                <w:sz w:val="18"/>
              </w:rPr>
              <w:t>Included where Veltrixa information or managed devices are used; physical premises remain outside organizational ownership.</w:t>
            </w:r>
          </w:p>
        </w:tc>
      </w:tr>
    </w:tbl>
    <w:p w14:paraId="740F722A" w14:textId="77777777" w:rsidR="0089317D" w:rsidRDefault="0089317D"/>
    <w:p w14:paraId="0F9BA714" w14:textId="77777777" w:rsidR="0089317D" w:rsidRDefault="00000000">
      <w:pPr>
        <w:pStyle w:val="Overskrift1"/>
      </w:pPr>
      <w:r>
        <w:t>5. Exclusions and applicability</w:t>
      </w:r>
    </w:p>
    <w:p w14:paraId="7DAEA051" w14:textId="77777777" w:rsidR="00550DB7" w:rsidRDefault="00550DB7">
      <w:pPr>
        <w:pStyle w:val="Overskrift1"/>
        <w:rPr>
          <w:rFonts w:ascii="Aptos" w:eastAsiaTheme="minorEastAsia" w:hAnsi="Aptos" w:cstheme="minorBidi"/>
          <w:b w:val="0"/>
          <w:bCs w:val="0"/>
          <w:color w:val="203040"/>
          <w:sz w:val="21"/>
          <w:szCs w:val="22"/>
        </w:rPr>
      </w:pPr>
      <w:r w:rsidRPr="00550DB7">
        <w:rPr>
          <w:rFonts w:ascii="Aptos" w:eastAsiaTheme="minorEastAsia" w:hAnsi="Aptos" w:cstheme="minorBidi"/>
          <w:b w:val="0"/>
          <w:bCs w:val="0"/>
          <w:color w:val="203040"/>
          <w:sz w:val="21"/>
          <w:szCs w:val="22"/>
        </w:rPr>
        <w:t>No requirement of ISO/IEC 27001:2022 Clauses 4–10 is excluded from the ISMS. Annex A controls may be determined as not applicable where they are not necessary to address identified risks or applicable legal, regulatory, contractual, or business requirements. The applicability decision and justification for each Annex A control are documented in ISMS-SOA-001 – Statement of Applicability.</w:t>
      </w:r>
    </w:p>
    <w:p w14:paraId="084B9964" w14:textId="0769B76E" w:rsidR="0089317D" w:rsidRDefault="00000000">
      <w:pPr>
        <w:pStyle w:val="Overskrift1"/>
      </w:pPr>
      <w:r>
        <w:t>6. Scope review</w:t>
      </w:r>
    </w:p>
    <w:p w14:paraId="574839DD" w14:textId="77777777" w:rsidR="0089317D" w:rsidRDefault="00000000">
      <w:r>
        <w:t>The ISMS Owner reviews this scope at least annually and when there is a material change to services, legal entity, technology, location, outsourcing arrangement or interested-party requirement. Changes require CEO approval.</w:t>
      </w:r>
    </w:p>
    <w:sectPr w:rsidR="0089317D" w:rsidSect="00034616">
      <w:headerReference w:type="default" r:id="rId8"/>
      <w:footerReference w:type="default" r:id="rId9"/>
      <w:pgSz w:w="12240" w:h="15840"/>
      <w:pgMar w:top="1152" w:right="1224" w:bottom="1080"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DE4E7C" w14:textId="77777777" w:rsidR="00C903D0" w:rsidRDefault="00C903D0">
      <w:pPr>
        <w:spacing w:after="0" w:line="240" w:lineRule="auto"/>
      </w:pPr>
      <w:r>
        <w:separator/>
      </w:r>
    </w:p>
  </w:endnote>
  <w:endnote w:type="continuationSeparator" w:id="0">
    <w:p w14:paraId="4F8B271B" w14:textId="77777777" w:rsidR="00C903D0" w:rsidRDefault="00C903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26A86" w14:textId="77777777" w:rsidR="0089317D" w:rsidRDefault="00000000">
    <w:pPr>
      <w:pStyle w:val="Sidefod"/>
      <w:jc w:val="right"/>
    </w:pPr>
    <w:r>
      <w:rPr>
        <w:color w:val="5B6573"/>
        <w:sz w:val="16"/>
      </w:rPr>
      <w:t xml:space="preserve">Internal / Portfolio  |  </w:t>
    </w:r>
    <w:r>
      <w:fldChar w:fldCharType="begin"/>
    </w:r>
    <w:r>
      <w:instrText xml:space="preserve"> PAGE </w:instrText>
    </w:r>
    <w:r w:rsidR="00550DB7">
      <w:fldChar w:fldCharType="separate"/>
    </w:r>
    <w:r w:rsidR="00550DB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1FCDC9" w14:textId="77777777" w:rsidR="00C903D0" w:rsidRDefault="00C903D0">
      <w:pPr>
        <w:spacing w:after="0" w:line="240" w:lineRule="auto"/>
      </w:pPr>
      <w:r>
        <w:separator/>
      </w:r>
    </w:p>
  </w:footnote>
  <w:footnote w:type="continuationSeparator" w:id="0">
    <w:p w14:paraId="431B31DE" w14:textId="77777777" w:rsidR="00C903D0" w:rsidRDefault="00C903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564B5" w14:textId="77777777" w:rsidR="0089317D" w:rsidRDefault="00000000">
    <w:r>
      <w:rPr>
        <w:color w:val="5B6573"/>
        <w:sz w:val="16"/>
      </w:rPr>
      <w:t>VELTRIXA ApS  |  ISMS-002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pstilling-talellerbogs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pstilling-talellerbogs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pstilling-punktteg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pstilling-punktteg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pstilling-talellerbogs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pstilling-punkttegn"/>
      <w:lvlText w:val=""/>
      <w:lvlJc w:val="left"/>
      <w:pPr>
        <w:tabs>
          <w:tab w:val="num" w:pos="360"/>
        </w:tabs>
        <w:ind w:left="360" w:hanging="360"/>
      </w:pPr>
      <w:rPr>
        <w:rFonts w:ascii="Symbol" w:hAnsi="Symbol" w:hint="default"/>
      </w:rPr>
    </w:lvl>
  </w:abstractNum>
  <w:num w:numId="1" w16cid:durableId="1581715153">
    <w:abstractNumId w:val="8"/>
  </w:num>
  <w:num w:numId="2" w16cid:durableId="993215737">
    <w:abstractNumId w:val="6"/>
  </w:num>
  <w:num w:numId="3" w16cid:durableId="1624573638">
    <w:abstractNumId w:val="5"/>
  </w:num>
  <w:num w:numId="4" w16cid:durableId="702948788">
    <w:abstractNumId w:val="4"/>
  </w:num>
  <w:num w:numId="5" w16cid:durableId="52119157">
    <w:abstractNumId w:val="7"/>
  </w:num>
  <w:num w:numId="6" w16cid:durableId="870608808">
    <w:abstractNumId w:val="3"/>
  </w:num>
  <w:num w:numId="7" w16cid:durableId="1500121290">
    <w:abstractNumId w:val="2"/>
  </w:num>
  <w:num w:numId="8" w16cid:durableId="599992606">
    <w:abstractNumId w:val="1"/>
  </w:num>
  <w:num w:numId="9" w16cid:durableId="1736590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0DB7"/>
    <w:rsid w:val="0089317D"/>
    <w:rsid w:val="008D0D90"/>
    <w:rsid w:val="00AA1D8D"/>
    <w:rsid w:val="00B47730"/>
    <w:rsid w:val="00C903D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97C8B1"/>
  <w14:defaultImageDpi w14:val="300"/>
  <w15:docId w15:val="{58A101C8-CBB9-4B69-B5A3-5EE325167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203040"/>
      <w:sz w:val="21"/>
    </w:rPr>
  </w:style>
  <w:style w:type="paragraph" w:styleId="Overskrift1">
    <w:name w:val="heading 1"/>
    <w:basedOn w:val="Normal"/>
    <w:next w:val="Normal"/>
    <w:link w:val="Overskrift1Tegn"/>
    <w:uiPriority w:val="9"/>
    <w:qFormat/>
    <w:rsid w:val="00FC693F"/>
    <w:pPr>
      <w:keepNext/>
      <w:keepLines/>
      <w:spacing w:before="320" w:after="140"/>
      <w:outlineLvl w:val="0"/>
    </w:pPr>
    <w:rPr>
      <w:rFonts w:asciiTheme="majorHAnsi" w:eastAsiaTheme="majorEastAsia" w:hAnsiTheme="majorHAnsi" w:cstheme="majorBidi"/>
      <w:b/>
      <w:bCs/>
      <w:color w:val="1F4E79"/>
      <w:sz w:val="32"/>
      <w:szCs w:val="28"/>
    </w:rPr>
  </w:style>
  <w:style w:type="paragraph" w:styleId="Overskrift2">
    <w:name w:val="heading 2"/>
    <w:basedOn w:val="Normal"/>
    <w:next w:val="Normal"/>
    <w:link w:val="Overskrift2Tegn"/>
    <w:uiPriority w:val="9"/>
    <w:unhideWhenUsed/>
    <w:qFormat/>
    <w:rsid w:val="00FC693F"/>
    <w:pPr>
      <w:keepNext/>
      <w:keepLines/>
      <w:spacing w:before="240" w:after="100"/>
      <w:outlineLvl w:val="1"/>
    </w:pPr>
    <w:rPr>
      <w:rFonts w:asciiTheme="majorHAnsi" w:eastAsiaTheme="majorEastAsia" w:hAnsiTheme="majorHAnsi" w:cstheme="majorBidi"/>
      <w:b/>
      <w:bCs/>
      <w:color w:val="1F4E79"/>
      <w:sz w:val="26"/>
      <w:szCs w:val="26"/>
    </w:rPr>
  </w:style>
  <w:style w:type="paragraph" w:styleId="Overskrift3">
    <w:name w:val="heading 3"/>
    <w:basedOn w:val="Normal"/>
    <w:next w:val="Normal"/>
    <w:link w:val="Overskrift3Tegn"/>
    <w:uiPriority w:val="9"/>
    <w:unhideWhenUsed/>
    <w:qFormat/>
    <w:rsid w:val="00FC693F"/>
    <w:pPr>
      <w:keepNext/>
      <w:keepLines/>
      <w:spacing w:before="180" w:after="60"/>
      <w:outlineLvl w:val="2"/>
    </w:pPr>
    <w:rPr>
      <w:rFonts w:asciiTheme="majorHAnsi" w:eastAsiaTheme="majorEastAsia" w:hAnsiTheme="majorHAnsi" w:cstheme="majorBidi"/>
      <w:b/>
      <w:bCs/>
      <w:sz w:val="22"/>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E618BF"/>
    <w:pPr>
      <w:tabs>
        <w:tab w:val="center" w:pos="4680"/>
        <w:tab w:val="right" w:pos="9360"/>
      </w:tabs>
      <w:spacing w:after="0" w:line="240" w:lineRule="auto"/>
    </w:pPr>
  </w:style>
  <w:style w:type="character" w:customStyle="1" w:styleId="SidehovedTegn">
    <w:name w:val="Sidehoved Tegn"/>
    <w:basedOn w:val="Standardskrifttypeiafsnit"/>
    <w:link w:val="Sidehoved"/>
    <w:uiPriority w:val="99"/>
    <w:rsid w:val="00E618BF"/>
  </w:style>
  <w:style w:type="paragraph" w:styleId="Sidefod">
    <w:name w:val="footer"/>
    <w:basedOn w:val="Normal"/>
    <w:link w:val="SidefodTegn"/>
    <w:uiPriority w:val="99"/>
    <w:unhideWhenUsed/>
    <w:rsid w:val="00E618BF"/>
    <w:pPr>
      <w:tabs>
        <w:tab w:val="center" w:pos="4680"/>
        <w:tab w:val="right" w:pos="9360"/>
      </w:tabs>
      <w:spacing w:after="0" w:line="240" w:lineRule="auto"/>
    </w:pPr>
  </w:style>
  <w:style w:type="character" w:customStyle="1" w:styleId="SidefodTegn">
    <w:name w:val="Sidefod Tegn"/>
    <w:basedOn w:val="Standardskrifttypeiafsnit"/>
    <w:link w:val="Sidefod"/>
    <w:uiPriority w:val="99"/>
    <w:rsid w:val="00E618BF"/>
  </w:style>
  <w:style w:type="paragraph" w:styleId="Ingenafstand">
    <w:name w:val="No Spacing"/>
    <w:uiPriority w:val="1"/>
    <w:qFormat/>
    <w:rsid w:val="00FC693F"/>
    <w:pPr>
      <w:spacing w:after="0" w:line="240" w:lineRule="auto"/>
    </w:pPr>
  </w:style>
  <w:style w:type="character" w:customStyle="1" w:styleId="Overskrift1Tegn">
    <w:name w:val="Overskrift 1 Tegn"/>
    <w:basedOn w:val="Standardskrifttypeiafsni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typeiafsni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typeiafsnit"/>
    <w:link w:val="Overskrift3"/>
    <w:uiPriority w:val="9"/>
    <w:rsid w:val="00FC693F"/>
    <w:rPr>
      <w:rFonts w:asciiTheme="majorHAnsi" w:eastAsiaTheme="majorEastAsia" w:hAnsiTheme="majorHAnsi" w:cstheme="majorBidi"/>
      <w:b/>
      <w:bCs/>
      <w:color w:val="4F81BD" w:themeColor="accent1"/>
    </w:rPr>
  </w:style>
  <w:style w:type="paragraph" w:styleId="Titel">
    <w:name w:val="Title"/>
    <w:basedOn w:val="Normal"/>
    <w:next w:val="Normal"/>
    <w:link w:val="Ti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Tegn">
    <w:name w:val="Titel Tegn"/>
    <w:basedOn w:val="Standardskrifttypeiafsni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el">
    <w:name w:val="Subtitle"/>
    <w:basedOn w:val="Normal"/>
    <w:next w:val="Normal"/>
    <w:link w:val="Underti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elTegn">
    <w:name w:val="Undertitel Tegn"/>
    <w:basedOn w:val="Standardskrifttypeiafsnit"/>
    <w:link w:val="U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afsni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style>
  <w:style w:type="character" w:customStyle="1" w:styleId="BrdtekstTegn">
    <w:name w:val="Brødtekst Tegn"/>
    <w:basedOn w:val="Standardskrifttypeiafsnit"/>
    <w:link w:val="Brdtekst"/>
    <w:uiPriority w:val="99"/>
    <w:rsid w:val="00AA1D8D"/>
  </w:style>
  <w:style w:type="paragraph" w:styleId="Brdtekst2">
    <w:name w:val="Body Text 2"/>
    <w:basedOn w:val="Normal"/>
    <w:link w:val="Brdtekst2Tegn"/>
    <w:uiPriority w:val="99"/>
    <w:unhideWhenUsed/>
    <w:rsid w:val="00AA1D8D"/>
    <w:pPr>
      <w:spacing w:line="480" w:lineRule="auto"/>
    </w:pPr>
  </w:style>
  <w:style w:type="character" w:customStyle="1" w:styleId="Brdtekst2Tegn">
    <w:name w:val="Brødtekst 2 Tegn"/>
    <w:basedOn w:val="Standardskrifttypeiafsnit"/>
    <w:link w:val="Brdtekst2"/>
    <w:uiPriority w:val="99"/>
    <w:rsid w:val="00AA1D8D"/>
  </w:style>
  <w:style w:type="paragraph" w:styleId="Brdtekst3">
    <w:name w:val="Body Text 3"/>
    <w:basedOn w:val="Normal"/>
    <w:link w:val="Brdtekst3Tegn"/>
    <w:uiPriority w:val="99"/>
    <w:unhideWhenUsed/>
    <w:rsid w:val="00AA1D8D"/>
    <w:rPr>
      <w:sz w:val="16"/>
      <w:szCs w:val="16"/>
    </w:rPr>
  </w:style>
  <w:style w:type="character" w:customStyle="1" w:styleId="Brdtekst3Tegn">
    <w:name w:val="Brødtekst 3 Tegn"/>
    <w:basedOn w:val="Standardskrifttypeiafsni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Opstilling-punkttegn">
    <w:name w:val="List Bullet"/>
    <w:basedOn w:val="Normal"/>
    <w:uiPriority w:val="99"/>
    <w:unhideWhenUsed/>
    <w:rsid w:val="00326F90"/>
    <w:pPr>
      <w:numPr>
        <w:numId w:val="1"/>
      </w:numPr>
      <w:spacing w:after="60"/>
      <w:contextualSpacing/>
    </w:pPr>
  </w:style>
  <w:style w:type="paragraph" w:styleId="Opstilling-punkttegn2">
    <w:name w:val="List Bullet 2"/>
    <w:basedOn w:val="Normal"/>
    <w:uiPriority w:val="99"/>
    <w:unhideWhenUsed/>
    <w:rsid w:val="00326F90"/>
    <w:pPr>
      <w:numPr>
        <w:numId w:val="2"/>
      </w:numPr>
      <w:contextualSpacing/>
    </w:pPr>
  </w:style>
  <w:style w:type="paragraph" w:styleId="Opstilling-punkttegn3">
    <w:name w:val="List Bullet 3"/>
    <w:basedOn w:val="Normal"/>
    <w:uiPriority w:val="99"/>
    <w:unhideWhenUsed/>
    <w:rsid w:val="00326F90"/>
    <w:pPr>
      <w:numPr>
        <w:numId w:val="3"/>
      </w:numPr>
      <w:contextualSpacing/>
    </w:pPr>
  </w:style>
  <w:style w:type="paragraph" w:styleId="Opstilling-talellerbogst">
    <w:name w:val="List Number"/>
    <w:basedOn w:val="Normal"/>
    <w:uiPriority w:val="99"/>
    <w:unhideWhenUsed/>
    <w:rsid w:val="00326F90"/>
    <w:pPr>
      <w:numPr>
        <w:numId w:val="5"/>
      </w:numPr>
      <w:spacing w:after="60"/>
      <w:contextualSpacing/>
    </w:pPr>
  </w:style>
  <w:style w:type="paragraph" w:styleId="Opstilling-talellerbogst2">
    <w:name w:val="List Number 2"/>
    <w:basedOn w:val="Normal"/>
    <w:uiPriority w:val="99"/>
    <w:unhideWhenUsed/>
    <w:rsid w:val="0029639D"/>
    <w:pPr>
      <w:numPr>
        <w:numId w:val="6"/>
      </w:numPr>
      <w:contextualSpacing/>
    </w:pPr>
  </w:style>
  <w:style w:type="paragraph" w:styleId="Opstilling-talellerbogst3">
    <w:name w:val="List Number 3"/>
    <w:basedOn w:val="Normal"/>
    <w:uiPriority w:val="99"/>
    <w:unhideWhenUsed/>
    <w:rsid w:val="0029639D"/>
    <w:pPr>
      <w:numPr>
        <w:numId w:val="7"/>
      </w:numPr>
      <w:contextualSpacing/>
    </w:pPr>
  </w:style>
  <w:style w:type="paragraph" w:styleId="Opstilling-forts">
    <w:name w:val="List Continue"/>
    <w:basedOn w:val="Normal"/>
    <w:uiPriority w:val="99"/>
    <w:unhideWhenUsed/>
    <w:rsid w:val="0029639D"/>
    <w:pPr>
      <w:ind w:left="360"/>
      <w:contextualSpacing/>
    </w:pPr>
  </w:style>
  <w:style w:type="paragraph" w:styleId="Opstilling-forts2">
    <w:name w:val="List Continue 2"/>
    <w:basedOn w:val="Normal"/>
    <w:uiPriority w:val="99"/>
    <w:unhideWhenUsed/>
    <w:rsid w:val="0029639D"/>
    <w:pPr>
      <w:ind w:left="720"/>
      <w:contextualSpacing/>
    </w:pPr>
  </w:style>
  <w:style w:type="paragraph" w:styleId="Opstilling-forts3">
    <w:name w:val="List Continue 3"/>
    <w:basedOn w:val="Normal"/>
    <w:uiPriority w:val="99"/>
    <w:unhideWhenUsed/>
    <w:rsid w:val="0029639D"/>
    <w:pPr>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typeiafsnit"/>
    <w:link w:val="Makrotekst"/>
    <w:uiPriority w:val="99"/>
    <w:rsid w:val="0029639D"/>
    <w:rPr>
      <w:rFonts w:ascii="Courier" w:hAnsi="Courier"/>
      <w:sz w:val="20"/>
      <w:szCs w:val="20"/>
    </w:rPr>
  </w:style>
  <w:style w:type="paragraph" w:styleId="Citat">
    <w:name w:val="Quote"/>
    <w:basedOn w:val="Normal"/>
    <w:next w:val="Normal"/>
    <w:link w:val="CitatTegn"/>
    <w:uiPriority w:val="29"/>
    <w:qFormat/>
    <w:rsid w:val="00FC693F"/>
    <w:rPr>
      <w:i/>
      <w:iCs/>
      <w:color w:val="000000" w:themeColor="text1"/>
    </w:rPr>
  </w:style>
  <w:style w:type="character" w:customStyle="1" w:styleId="CitatTegn">
    <w:name w:val="Citat Tegn"/>
    <w:basedOn w:val="Standardskrifttypeiafsnit"/>
    <w:link w:val="Citat"/>
    <w:uiPriority w:val="29"/>
    <w:rsid w:val="00FC693F"/>
    <w:rPr>
      <w:i/>
      <w:iCs/>
      <w:color w:val="000000" w:themeColor="text1"/>
    </w:rPr>
  </w:style>
  <w:style w:type="character" w:customStyle="1" w:styleId="Overskrift4Tegn">
    <w:name w:val="Overskrift 4 Tegn"/>
    <w:basedOn w:val="Standardskrifttypeiafsni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typeiafsni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typeiafsni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typeiafsni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typeiafsni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typeiafsni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led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k">
    <w:name w:val="Strong"/>
    <w:basedOn w:val="Standardskrifttypeiafsnit"/>
    <w:uiPriority w:val="22"/>
    <w:qFormat/>
    <w:rsid w:val="00FC693F"/>
    <w:rPr>
      <w:b/>
      <w:bCs/>
    </w:rPr>
  </w:style>
  <w:style w:type="character" w:styleId="Fremhv">
    <w:name w:val="Emphasis"/>
    <w:basedOn w:val="Standardskrifttypeiafsnit"/>
    <w:uiPriority w:val="20"/>
    <w:qFormat/>
    <w:rsid w:val="00FC693F"/>
    <w:rPr>
      <w:i/>
      <w:iCs/>
    </w:rPr>
  </w:style>
  <w:style w:type="paragraph" w:styleId="Strktcitat">
    <w:name w:val="Intense Quote"/>
    <w:basedOn w:val="Normal"/>
    <w:next w:val="Normal"/>
    <w:link w:val="Strktc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rktcitatTegn">
    <w:name w:val="Stærkt citat Tegn"/>
    <w:basedOn w:val="Standardskrifttypeiafsnit"/>
    <w:link w:val="Strktcitat"/>
    <w:uiPriority w:val="30"/>
    <w:rsid w:val="00FC693F"/>
    <w:rPr>
      <w:b/>
      <w:bCs/>
      <w:i/>
      <w:iCs/>
      <w:color w:val="4F81BD" w:themeColor="accent1"/>
    </w:rPr>
  </w:style>
  <w:style w:type="character" w:styleId="Svagfremhvning">
    <w:name w:val="Subtle Emphasis"/>
    <w:basedOn w:val="Standardskrifttypeiafsnit"/>
    <w:uiPriority w:val="19"/>
    <w:qFormat/>
    <w:rsid w:val="00FC693F"/>
    <w:rPr>
      <w:i/>
      <w:iCs/>
      <w:color w:val="808080" w:themeColor="text1" w:themeTint="7F"/>
    </w:rPr>
  </w:style>
  <w:style w:type="character" w:styleId="Kraftigfremhvning">
    <w:name w:val="Intense Emphasis"/>
    <w:basedOn w:val="Standardskrifttypeiafsnit"/>
    <w:uiPriority w:val="21"/>
    <w:qFormat/>
    <w:rsid w:val="00FC693F"/>
    <w:rPr>
      <w:b/>
      <w:bCs/>
      <w:i/>
      <w:iCs/>
      <w:color w:val="4F81BD" w:themeColor="accent1"/>
    </w:rPr>
  </w:style>
  <w:style w:type="character" w:styleId="Svaghenvisning">
    <w:name w:val="Subtle Reference"/>
    <w:basedOn w:val="Standardskrifttypeiafsnit"/>
    <w:uiPriority w:val="31"/>
    <w:qFormat/>
    <w:rsid w:val="00FC693F"/>
    <w:rPr>
      <w:smallCaps/>
      <w:color w:val="C0504D" w:themeColor="accent2"/>
      <w:u w:val="single"/>
    </w:rPr>
  </w:style>
  <w:style w:type="character" w:styleId="Kraftighenvisning">
    <w:name w:val="Intense Reference"/>
    <w:basedOn w:val="Standardskrifttypeiafsnit"/>
    <w:uiPriority w:val="32"/>
    <w:qFormat/>
    <w:rsid w:val="00FC693F"/>
    <w:rPr>
      <w:b/>
      <w:bCs/>
      <w:smallCaps/>
      <w:color w:val="C0504D" w:themeColor="accent2"/>
      <w:spacing w:val="5"/>
      <w:u w:val="single"/>
    </w:rPr>
  </w:style>
  <w:style w:type="character" w:styleId="Bogenstitel">
    <w:name w:val="Book Title"/>
    <w:basedOn w:val="Standardskrifttypeiafsnit"/>
    <w:uiPriority w:val="33"/>
    <w:qFormat/>
    <w:rsid w:val="00FC693F"/>
    <w:rPr>
      <w:b/>
      <w:bCs/>
      <w:smallCaps/>
      <w:spacing w:val="5"/>
    </w:rPr>
  </w:style>
  <w:style w:type="paragraph" w:styleId="Overskrift">
    <w:name w:val="TOC Heading"/>
    <w:basedOn w:val="Overskrift1"/>
    <w:next w:val="Normal"/>
    <w:uiPriority w:val="39"/>
    <w:semiHidden/>
    <w:unhideWhenUsed/>
    <w:qFormat/>
    <w:rsid w:val="00FC693F"/>
    <w:pPr>
      <w:outlineLvl w:val="9"/>
    </w:pPr>
  </w:style>
  <w:style w:type="table" w:styleId="Tabel-Gitter">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fremhvningsfarv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fremhvningsfarv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fremhvningsfarv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fremhvningsfarv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fremhvningsfarv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farv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fremhvningsfarv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fremhvningsfarv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fremhvningsfarv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fremhvningsfarv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fremhvningsfarv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gitter">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gitter-farv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gitter-fremhvningsfarv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gitter-fremhvningsfarv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gitter-fremhvningsfarv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gitter-fremhvningsfarv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gitter-fremhvningsfarv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kygg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arv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kygge2-fremhvningsfarv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e1-fremhvningsfarv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e1-fremhvningsfarv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e1-fremhvningsfarv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e1-fremhvningsfarv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e1-fremhvningsfarv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itter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itter1-fremhvningsfarv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itter1-fremhvningsfarv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itter1-fremhvningsfarv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itter1-fremhvningsfarv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itter1-fremhvningsfarv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itter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3-fremhvningsfarv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itter3-fremhvningsfarv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itter3-fremhvningsfarv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itter3-fremhvningsfarv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itter3-fremhvningsfarv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itter3-fremhvningsfarv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fremhvningsfarv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fremhvningsfarv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fremhvningsfarv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fremhvningsfarv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fremhvningsfarv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vetskygge">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vetskygge-fremhvningsfarv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vetskygge-fremhvningsfarv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vetskygge-fremhvningsfarv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vetskygge-fremhvningsfarv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vetskygge-fremhvningsfarv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vetskygge-fremhvningsfarv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vetliste">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vetliste-fremhvningsfarv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vetliste-fremhvningsfarv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vetliste-fremhvningsfarv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vetliste-fremhvningsfarv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vetliste-fremhvningsfarv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vetgitter">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vetgitter-fremhvningsfarv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vetgitter-fremhvningsfarv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vetgitter-fremhvningsfarv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vetgitter-fremhvningsfarv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vetgitter-fremhvningsfarv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Pages>
  <Words>383</Words>
  <Characters>2337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 Vinther</cp:lastModifiedBy>
  <cp:revision>2</cp:revision>
  <dcterms:created xsi:type="dcterms:W3CDTF">2013-12-23T23:15:00Z</dcterms:created>
  <dcterms:modified xsi:type="dcterms:W3CDTF">2026-07-28T19:53:00Z</dcterms:modified>
  <cp:category/>
</cp:coreProperties>
</file>