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 Display" w:hAnsi="Aptos Display"/>
          <w:b/>
          <w:color w:val="1F4E79"/>
          <w:sz w:val="48"/>
        </w:rPr>
        <w:t>Information Security Objectives and Monitoring Plan</w:t>
      </w:r>
    </w:p>
    <w:p>
      <w:pPr>
        <w:spacing w:after="280"/>
      </w:pPr>
      <w:r>
        <w:rPr>
          <w:color w:val="5B6573"/>
          <w:sz w:val="24"/>
        </w:rPr>
        <w:t>Veltrixa ApS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PLAN-OBJ-001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ISMS Owner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CEO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2026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2027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Internal / Portfolio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Approved for portfolio use</w:t>
            </w:r>
          </w:p>
        </w:tc>
      </w:tr>
    </w:tbl>
    <w:p/>
    <w:p>
      <w:pPr>
        <w:spacing w:after="200"/>
      </w:pPr>
      <w:r>
        <w:rPr>
          <w:b/>
        </w:rPr>
        <w:t xml:space="preserve">Portfolio note. </w:t>
      </w:r>
      <w:r>
        <w:t>This document is an illustrative ISMS artefact for the fictional company Veltrixa ApS. It demonstrates ISO/IEC 27001:2022 implementation logic; it is not evidence of certification or live operational performance.</w:t>
      </w:r>
    </w:p>
    <w:p>
      <w:pPr>
        <w:pStyle w:val="Heading1"/>
      </w:pPr>
      <w:r>
        <w:t>1. Objectives</w:t>
      </w:r>
    </w:p>
    <w:tbl>
      <w:tblPr>
        <w:tblStyle w:val="TableGrid"/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29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Objective</w:t>
            </w:r>
          </w:p>
        </w:tc>
        <w:tc>
          <w:tcPr>
            <w:tcW w:type="dxa" w:w="24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Measure</w:t>
            </w:r>
          </w:p>
        </w:tc>
        <w:tc>
          <w:tcPr>
            <w:tcW w:type="dxa" w:w="151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0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Frequency</w:t>
            </w:r>
          </w:p>
        </w:tc>
        <w:tc>
          <w:tcPr>
            <w:tcW w:type="dxa" w:w="122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0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10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Risk link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OBJ-01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Protect identities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100% workforce and privileged accounts protected by MFA; 100% quarterly privileged-access reviews completed.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Identity report; review record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Monthly / quarterly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Head of Engineering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≥100%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R-01; R-12</w:t>
            </w:r>
          </w:p>
        </w:tc>
      </w:tr>
      <w:tr>
        <w:tc>
          <w:tcPr>
            <w:tcW w:type="dxa" w:w="6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OBJ-02</w:t>
            </w:r>
          </w:p>
        </w:tc>
        <w:tc>
          <w:tcPr>
            <w:tcW w:type="dxa" w:w="1296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Reduce critical exposure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Critical vulnerabilities remediated within 7 days and high vulnerabilities within 30 days in ≥95% of cases.</w:t>
            </w:r>
          </w:p>
        </w:tc>
        <w:tc>
          <w:tcPr>
            <w:tcW w:type="dxa" w:w="151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Vulnerability platform report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Monthly</w:t>
            </w:r>
          </w:p>
        </w:tc>
        <w:tc>
          <w:tcPr>
            <w:tcW w:type="dxa" w:w="122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Engineering Manager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≥95%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R-03; R-04; R-05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OBJ-03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Maintain recoverability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Quarterly restore test succeeds and meets documented recovery targets.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Restore test record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Quarterly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DevOps Lead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100% passed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R-02; R-07</w:t>
            </w:r>
          </w:p>
        </w:tc>
      </w:tr>
      <w:tr>
        <w:tc>
          <w:tcPr>
            <w:tcW w:type="dxa" w:w="6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OBJ-04</w:t>
            </w:r>
          </w:p>
        </w:tc>
        <w:tc>
          <w:tcPr>
            <w:tcW w:type="dxa" w:w="1296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Build security awareness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≥98% training completion; phishing simulation reporting rate improves quarter over quarter.</w:t>
            </w:r>
          </w:p>
        </w:tc>
        <w:tc>
          <w:tcPr>
            <w:tcW w:type="dxa" w:w="151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Training and simulation reports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Quarterly</w:t>
            </w:r>
          </w:p>
        </w:tc>
        <w:tc>
          <w:tcPr>
            <w:tcW w:type="dxa" w:w="122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People Operations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≥98%; improving trend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R-06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OBJ-05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Close governance actions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≥90% risk-treatment and corrective actions completed by approved due date; no overdue Critical action.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Action registers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Monthly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ISMS Owner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≥90%; 0 Critical overdue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All</w:t>
            </w:r>
          </w:p>
        </w:tc>
      </w:tr>
      <w:tr>
        <w:tc>
          <w:tcPr>
            <w:tcW w:type="dxa" w:w="6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OBJ-06</w:t>
            </w:r>
          </w:p>
        </w:tc>
        <w:tc>
          <w:tcPr>
            <w:tcW w:type="dxa" w:w="1296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Detect and respond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100% critical alert scenarios tested twice yearly; initial triage within 30 minutes for severity-1 alerts.</w:t>
            </w:r>
          </w:p>
        </w:tc>
        <w:tc>
          <w:tcPr>
            <w:tcW w:type="dxa" w:w="151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Alert test and incident records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Quarterly / semiannual</w:t>
            </w:r>
          </w:p>
        </w:tc>
        <w:tc>
          <w:tcPr>
            <w:tcW w:type="dxa" w:w="1224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DevOps Lead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100%; ≤30 min</w:t>
            </w:r>
          </w:p>
        </w:tc>
        <w:tc>
          <w:tcPr>
            <w:tcW w:type="dxa" w:w="100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R-10</w:t>
            </w:r>
          </w:p>
        </w:tc>
      </w:tr>
    </w:tbl>
    <w:p/>
    <w:p>
      <w:pPr>
        <w:pStyle w:val="Heading1"/>
      </w:pPr>
      <w:r>
        <w:t>2. Evaluation and reporting</w:t>
      </w:r>
    </w:p>
    <w:p>
      <w:r>
        <w:t>Owners validate source data and report results to the ISMS Owner. Missed targets are analysed for cause and may create a corrective action or revised plan. Trends and actions are reviewed quarterly and included in management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Internal / Portfolio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6"/>
      </w:rPr>
      <w:t>VELTRIXA ApS  |  PLAN-OBJ-001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