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tos Display" w:hAnsi="Aptos Display"/>
          <w:b/>
          <w:color w:val="1F4E79"/>
          <w:sz w:val="48"/>
        </w:rPr>
        <w:t>Internal Audit Programme and Report</w:t>
      </w:r>
    </w:p>
    <w:p>
      <w:pPr>
        <w:spacing w:after="280"/>
      </w:pPr>
      <w:r>
        <w:rPr>
          <w:color w:val="5B6573"/>
          <w:sz w:val="24"/>
        </w:rPr>
        <w:t>Veltrixa ApS</w:t>
      </w:r>
    </w:p>
    <w:tbl>
      <w:tblPr>
        <w:tblStyle w:val="TableGrid"/>
        <w:tblW w:type="dxa" w:w="9792"/>
        <w:jc w:val="center"/>
        <w:tblLayout w:type="fixed"/>
        <w:tblLook w:firstColumn="1" w:firstRow="1" w:lastColumn="0" w:lastRow="0" w:noHBand="0" w:noVBand="1" w:val="04A0"/>
      </w:tblPr>
      <w:tblGrid>
        <w:gridCol w:w="2448"/>
        <w:gridCol w:w="2448"/>
        <w:gridCol w:w="2448"/>
        <w:gridCol w:w="2448"/>
      </w:tblGrid>
      <w:tr>
        <w:tc>
          <w:tcPr>
            <w:tcW w:type="dxa" w:w="1728"/>
            <w:shd w:fill="EAF0F6"/>
            <w:vAlign w:val="center"/>
            <w:tcMar>
              <w:top w:w="90" w:type="dxa"/>
              <w:start w:w="120" w:type="dxa"/>
              <w:bottom w:w="90" w:type="dxa"/>
              <w:end w:w="120" w:type="dxa"/>
            </w:tcMar>
          </w:tcPr>
          <w:p>
            <w:r>
              <w:rPr>
                <w:b/>
              </w:rPr>
              <w:t>Document ID</w:t>
            </w:r>
          </w:p>
        </w:tc>
        <w:tc>
          <w:tcPr>
            <w:tcW w:type="dxa" w:w="2952"/>
            <w:shd w:fill="FFFFFF"/>
            <w:vAlign w:val="center"/>
            <w:tcMar>
              <w:top w:w="90" w:type="dxa"/>
              <w:start w:w="120" w:type="dxa"/>
              <w:bottom w:w="90" w:type="dxa"/>
              <w:end w:w="120" w:type="dxa"/>
            </w:tcMar>
          </w:tcPr>
          <w:p>
            <w:r>
              <w:t>AUD-001</w:t>
            </w:r>
          </w:p>
        </w:tc>
        <w:tc>
          <w:tcPr>
            <w:tcW w:type="dxa" w:w="1728"/>
            <w:shd w:fill="EAF0F6"/>
            <w:vAlign w:val="center"/>
            <w:tcMar>
              <w:top w:w="90" w:type="dxa"/>
              <w:start w:w="120" w:type="dxa"/>
              <w:bottom w:w="90" w:type="dxa"/>
              <w:end w:w="120" w:type="dxa"/>
            </w:tcMar>
          </w:tcPr>
          <w:p>
            <w:r>
              <w:rPr>
                <w:b/>
              </w:rPr>
              <w:t>Version</w:t>
            </w:r>
          </w:p>
        </w:tc>
        <w:tc>
          <w:tcPr>
            <w:tcW w:type="dxa" w:w="3384"/>
            <w:shd w:fill="FFFFFF"/>
            <w:vAlign w:val="center"/>
            <w:tcMar>
              <w:top w:w="90" w:type="dxa"/>
              <w:start w:w="120" w:type="dxa"/>
              <w:bottom w:w="90" w:type="dxa"/>
              <w:end w:w="120" w:type="dxa"/>
            </w:tcMar>
          </w:tcPr>
          <w:p>
            <w:r>
              <w:t>1.0</w:t>
            </w:r>
          </w:p>
        </w:tc>
      </w:tr>
      <w:tr>
        <w:tc>
          <w:tcPr>
            <w:tcW w:type="dxa" w:w="1728"/>
            <w:shd w:fill="EAF0F6"/>
            <w:vAlign w:val="center"/>
            <w:tcMar>
              <w:top w:w="90" w:type="dxa"/>
              <w:start w:w="120" w:type="dxa"/>
              <w:bottom w:w="90" w:type="dxa"/>
              <w:end w:w="120" w:type="dxa"/>
            </w:tcMar>
          </w:tcPr>
          <w:p>
            <w:r>
              <w:rPr>
                <w:b/>
              </w:rPr>
              <w:t>Owner</w:t>
            </w:r>
          </w:p>
        </w:tc>
        <w:tc>
          <w:tcPr>
            <w:tcW w:type="dxa" w:w="2952"/>
            <w:shd w:fill="FFFFFF"/>
            <w:vAlign w:val="center"/>
            <w:tcMar>
              <w:top w:w="90" w:type="dxa"/>
              <w:start w:w="120" w:type="dxa"/>
              <w:bottom w:w="90" w:type="dxa"/>
              <w:end w:w="120" w:type="dxa"/>
            </w:tcMar>
          </w:tcPr>
          <w:p>
            <w:r>
              <w:t>Internal Auditor</w:t>
            </w:r>
          </w:p>
        </w:tc>
        <w:tc>
          <w:tcPr>
            <w:tcW w:type="dxa" w:w="1728"/>
            <w:shd w:fill="EAF0F6"/>
            <w:vAlign w:val="center"/>
            <w:tcMar>
              <w:top w:w="90" w:type="dxa"/>
              <w:start w:w="120" w:type="dxa"/>
              <w:bottom w:w="90" w:type="dxa"/>
              <w:end w:w="120" w:type="dxa"/>
            </w:tcMar>
          </w:tcPr>
          <w:p>
            <w:r>
              <w:rPr>
                <w:b/>
              </w:rPr>
              <w:t>Approver</w:t>
            </w:r>
          </w:p>
        </w:tc>
        <w:tc>
          <w:tcPr>
            <w:tcW w:type="dxa" w:w="3384"/>
            <w:shd w:fill="FFFFFF"/>
            <w:vAlign w:val="center"/>
            <w:tcMar>
              <w:top w:w="90" w:type="dxa"/>
              <w:start w:w="120" w:type="dxa"/>
              <w:bottom w:w="90" w:type="dxa"/>
              <w:end w:w="120" w:type="dxa"/>
            </w:tcMar>
          </w:tcPr>
          <w:p>
            <w:r>
              <w:t>CEO</w:t>
            </w:r>
          </w:p>
        </w:tc>
      </w:tr>
      <w:tr>
        <w:tc>
          <w:tcPr>
            <w:tcW w:type="dxa" w:w="1728"/>
            <w:shd w:fill="EAF0F6"/>
            <w:vAlign w:val="center"/>
            <w:tcMar>
              <w:top w:w="90" w:type="dxa"/>
              <w:start w:w="120" w:type="dxa"/>
              <w:bottom w:w="90" w:type="dxa"/>
              <w:end w:w="120" w:type="dxa"/>
            </w:tcMar>
          </w:tcPr>
          <w:p>
            <w:r>
              <w:rPr>
                <w:b/>
              </w:rPr>
              <w:t>Effective date</w:t>
            </w:r>
          </w:p>
        </w:tc>
        <w:tc>
          <w:tcPr>
            <w:tcW w:type="dxa" w:w="2952"/>
            <w:shd w:fill="FFFFFF"/>
            <w:vAlign w:val="center"/>
            <w:tcMar>
              <w:top w:w="90" w:type="dxa"/>
              <w:start w:w="120" w:type="dxa"/>
              <w:bottom w:w="90" w:type="dxa"/>
              <w:end w:w="120" w:type="dxa"/>
            </w:tcMar>
          </w:tcPr>
          <w:p>
            <w:r>
              <w:t>26 July 2026</w:t>
            </w:r>
          </w:p>
        </w:tc>
        <w:tc>
          <w:tcPr>
            <w:tcW w:type="dxa" w:w="1728"/>
            <w:shd w:fill="EAF0F6"/>
            <w:vAlign w:val="center"/>
            <w:tcMar>
              <w:top w:w="90" w:type="dxa"/>
              <w:start w:w="120" w:type="dxa"/>
              <w:bottom w:w="90" w:type="dxa"/>
              <w:end w:w="120" w:type="dxa"/>
            </w:tcMar>
          </w:tcPr>
          <w:p>
            <w:r>
              <w:rPr>
                <w:b/>
              </w:rPr>
              <w:t>Next review</w:t>
            </w:r>
          </w:p>
        </w:tc>
        <w:tc>
          <w:tcPr>
            <w:tcW w:type="dxa" w:w="3384"/>
            <w:shd w:fill="FFFFFF"/>
            <w:vAlign w:val="center"/>
            <w:tcMar>
              <w:top w:w="90" w:type="dxa"/>
              <w:start w:w="120" w:type="dxa"/>
              <w:bottom w:w="90" w:type="dxa"/>
              <w:end w:w="120" w:type="dxa"/>
            </w:tcMar>
          </w:tcPr>
          <w:p>
            <w:r>
              <w:t>26 July 2027</w:t>
            </w:r>
          </w:p>
        </w:tc>
      </w:tr>
      <w:tr>
        <w:tc>
          <w:tcPr>
            <w:tcW w:type="dxa" w:w="1728"/>
            <w:shd w:fill="EAF0F6"/>
            <w:vAlign w:val="center"/>
            <w:tcMar>
              <w:top w:w="90" w:type="dxa"/>
              <w:start w:w="120" w:type="dxa"/>
              <w:bottom w:w="90" w:type="dxa"/>
              <w:end w:w="120" w:type="dxa"/>
            </w:tcMar>
          </w:tcPr>
          <w:p>
            <w:r>
              <w:rPr>
                <w:b/>
              </w:rPr>
              <w:t>Classification</w:t>
            </w:r>
          </w:p>
        </w:tc>
        <w:tc>
          <w:tcPr>
            <w:tcW w:type="dxa" w:w="2952"/>
            <w:shd w:fill="FFFFFF"/>
            <w:vAlign w:val="center"/>
            <w:tcMar>
              <w:top w:w="90" w:type="dxa"/>
              <w:start w:w="120" w:type="dxa"/>
              <w:bottom w:w="90" w:type="dxa"/>
              <w:end w:w="120" w:type="dxa"/>
            </w:tcMar>
          </w:tcPr>
          <w:p>
            <w:r>
              <w:t>Internal / Portfolio</w:t>
            </w:r>
          </w:p>
        </w:tc>
        <w:tc>
          <w:tcPr>
            <w:tcW w:type="dxa" w:w="1728"/>
            <w:shd w:fill="EAF0F6"/>
            <w:vAlign w:val="center"/>
            <w:tcMar>
              <w:top w:w="90" w:type="dxa"/>
              <w:start w:w="120" w:type="dxa"/>
              <w:bottom w:w="90" w:type="dxa"/>
              <w:end w:w="120" w:type="dxa"/>
            </w:tcMar>
          </w:tcPr>
          <w:p>
            <w:r>
              <w:rPr>
                <w:b/>
              </w:rPr>
              <w:t>Status</w:t>
            </w:r>
          </w:p>
        </w:tc>
        <w:tc>
          <w:tcPr>
            <w:tcW w:type="dxa" w:w="3384"/>
            <w:shd w:fill="FFFFFF"/>
            <w:vAlign w:val="center"/>
            <w:tcMar>
              <w:top w:w="90" w:type="dxa"/>
              <w:start w:w="120" w:type="dxa"/>
              <w:bottom w:w="90" w:type="dxa"/>
              <w:end w:w="120" w:type="dxa"/>
            </w:tcMar>
          </w:tcPr>
          <w:p>
            <w:r>
              <w:t>Approved for portfolio use</w:t>
            </w:r>
          </w:p>
        </w:tc>
      </w:tr>
    </w:tbl>
    <w:p/>
    <w:p>
      <w:pPr>
        <w:spacing w:after="200"/>
      </w:pPr>
      <w:r>
        <w:rPr>
          <w:b/>
        </w:rPr>
        <w:t xml:space="preserve">Portfolio note. </w:t>
      </w:r>
      <w:r>
        <w:t>This document is an illustrative ISMS artefact for the fictional company Veltrixa ApS. It demonstrates ISO/IEC 27001:2022 implementation logic; it is not evidence of certification or live operational performance.</w:t>
      </w:r>
    </w:p>
    <w:p>
      <w:pPr>
        <w:pStyle w:val="Heading1"/>
      </w:pPr>
      <w:r>
        <w:t>1. Annual audit programme</w:t>
      </w:r>
    </w:p>
    <w:tbl>
      <w:tblPr>
        <w:tblStyle w:val="TableGrid"/>
        <w:tblW w:type="dxa" w:w="9792"/>
        <w:jc w:val="center"/>
        <w:tblLayout w:type="fixed"/>
        <w:tblLook w:firstColumn="1" w:firstRow="1" w:lastColumn="0" w:lastRow="0" w:noHBand="0" w:noVBand="1" w:val="04A0"/>
      </w:tblPr>
      <w:tblGrid>
        <w:gridCol w:w="1632"/>
        <w:gridCol w:w="1632"/>
        <w:gridCol w:w="1632"/>
        <w:gridCol w:w="1632"/>
        <w:gridCol w:w="1632"/>
        <w:gridCol w:w="1632"/>
      </w:tblGrid>
      <w:tr>
        <w:trPr>
          <w:tblHeader w:val="true"/>
        </w:trPr>
        <w:tc>
          <w:tcPr>
            <w:tcW w:type="dxa" w:w="792"/>
            <w:shd w:fill="1F4E79"/>
            <w:vAlign w:val="center"/>
            <w:tcMar>
              <w:top w:w="90" w:type="dxa"/>
              <w:start w:w="120" w:type="dxa"/>
              <w:bottom w:w="90" w:type="dxa"/>
              <w:end w:w="120" w:type="dxa"/>
            </w:tcMar>
          </w:tcPr>
          <w:p>
            <w:r>
              <w:rPr>
                <w:b/>
                <w:color w:val="FFFFFF"/>
                <w:sz w:val="16"/>
              </w:rPr>
              <w:t>Period</w:t>
            </w:r>
          </w:p>
        </w:tc>
        <w:tc>
          <w:tcPr>
            <w:tcW w:type="dxa" w:w="1944"/>
            <w:shd w:fill="1F4E79"/>
            <w:vAlign w:val="center"/>
            <w:tcMar>
              <w:top w:w="90" w:type="dxa"/>
              <w:start w:w="120" w:type="dxa"/>
              <w:bottom w:w="90" w:type="dxa"/>
              <w:end w:w="120" w:type="dxa"/>
            </w:tcMar>
          </w:tcPr>
          <w:p>
            <w:r>
              <w:rPr>
                <w:b/>
                <w:color w:val="FFFFFF"/>
                <w:sz w:val="16"/>
              </w:rPr>
              <w:t>Audit area</w:t>
            </w:r>
          </w:p>
        </w:tc>
        <w:tc>
          <w:tcPr>
            <w:tcW w:type="dxa" w:w="2376"/>
            <w:shd w:fill="1F4E79"/>
            <w:vAlign w:val="center"/>
            <w:tcMar>
              <w:top w:w="90" w:type="dxa"/>
              <w:start w:w="120" w:type="dxa"/>
              <w:bottom w:w="90" w:type="dxa"/>
              <w:end w:w="120" w:type="dxa"/>
            </w:tcMar>
          </w:tcPr>
          <w:p>
            <w:r>
              <w:rPr>
                <w:b/>
                <w:color w:val="FFFFFF"/>
                <w:sz w:val="16"/>
              </w:rPr>
              <w:t>Criteria</w:t>
            </w:r>
          </w:p>
        </w:tc>
        <w:tc>
          <w:tcPr>
            <w:tcW w:type="dxa" w:w="1944"/>
            <w:shd w:fill="1F4E79"/>
            <w:vAlign w:val="center"/>
            <w:tcMar>
              <w:top w:w="90" w:type="dxa"/>
              <w:start w:w="120" w:type="dxa"/>
              <w:bottom w:w="90" w:type="dxa"/>
              <w:end w:w="120" w:type="dxa"/>
            </w:tcMar>
          </w:tcPr>
          <w:p>
            <w:r>
              <w:rPr>
                <w:b/>
                <w:color w:val="FFFFFF"/>
                <w:sz w:val="16"/>
              </w:rPr>
              <w:t>Method</w:t>
            </w:r>
          </w:p>
        </w:tc>
        <w:tc>
          <w:tcPr>
            <w:tcW w:type="dxa" w:w="1512"/>
            <w:shd w:fill="1F4E79"/>
            <w:vAlign w:val="center"/>
            <w:tcMar>
              <w:top w:w="90" w:type="dxa"/>
              <w:start w:w="120" w:type="dxa"/>
              <w:bottom w:w="90" w:type="dxa"/>
              <w:end w:w="120" w:type="dxa"/>
            </w:tcMar>
          </w:tcPr>
          <w:p>
            <w:r>
              <w:rPr>
                <w:b/>
                <w:color w:val="FFFFFF"/>
                <w:sz w:val="16"/>
              </w:rPr>
              <w:t>Auditor</w:t>
            </w:r>
          </w:p>
        </w:tc>
        <w:tc>
          <w:tcPr>
            <w:tcW w:type="dxa" w:w="1224"/>
            <w:shd w:fill="1F4E79"/>
            <w:vAlign w:val="center"/>
            <w:tcMar>
              <w:top w:w="90" w:type="dxa"/>
              <w:start w:w="120" w:type="dxa"/>
              <w:bottom w:w="90" w:type="dxa"/>
              <w:end w:w="120" w:type="dxa"/>
            </w:tcMar>
          </w:tcPr>
          <w:p>
            <w:r>
              <w:rPr>
                <w:b/>
                <w:color w:val="FFFFFF"/>
                <w:sz w:val="16"/>
              </w:rPr>
              <w:t>Output</w:t>
            </w:r>
          </w:p>
        </w:tc>
      </w:tr>
      <w:tr>
        <w:tc>
          <w:tcPr>
            <w:tcW w:type="dxa" w:w="792"/>
            <w:vAlign w:val="center"/>
            <w:tcMar>
              <w:top w:w="90" w:type="dxa"/>
              <w:start w:w="120" w:type="dxa"/>
              <w:bottom w:w="90" w:type="dxa"/>
              <w:end w:w="120" w:type="dxa"/>
            </w:tcMar>
          </w:tcPr>
          <w:p>
            <w:pPr>
              <w:spacing w:after="20" w:line="240" w:lineRule="auto"/>
            </w:pPr>
            <w:r>
              <w:rPr>
                <w:sz w:val="16"/>
              </w:rPr>
              <w:t>Q1</w:t>
            </w:r>
          </w:p>
        </w:tc>
        <w:tc>
          <w:tcPr>
            <w:tcW w:type="dxa" w:w="1944"/>
            <w:vAlign w:val="center"/>
            <w:tcMar>
              <w:top w:w="90" w:type="dxa"/>
              <w:start w:w="120" w:type="dxa"/>
              <w:bottom w:w="90" w:type="dxa"/>
              <w:end w:w="120" w:type="dxa"/>
            </w:tcMar>
          </w:tcPr>
          <w:p>
            <w:pPr>
              <w:spacing w:after="20" w:line="240" w:lineRule="auto"/>
            </w:pPr>
            <w:r>
              <w:rPr>
                <w:sz w:val="16"/>
              </w:rPr>
              <w:t>Context, leadership and document control</w:t>
            </w:r>
          </w:p>
        </w:tc>
        <w:tc>
          <w:tcPr>
            <w:tcW w:type="dxa" w:w="2376"/>
            <w:vAlign w:val="center"/>
            <w:tcMar>
              <w:top w:w="90" w:type="dxa"/>
              <w:start w:w="120" w:type="dxa"/>
              <w:bottom w:w="90" w:type="dxa"/>
              <w:end w:w="120" w:type="dxa"/>
            </w:tcMar>
          </w:tcPr>
          <w:p>
            <w:pPr>
              <w:spacing w:after="20" w:line="240" w:lineRule="auto"/>
            </w:pPr>
            <w:r>
              <w:rPr>
                <w:sz w:val="16"/>
              </w:rPr>
              <w:t>ISO 27001 clauses 4, 5, 7.5; internal documents</w:t>
            </w:r>
          </w:p>
        </w:tc>
        <w:tc>
          <w:tcPr>
            <w:tcW w:type="dxa" w:w="1944"/>
            <w:vAlign w:val="center"/>
            <w:tcMar>
              <w:top w:w="90" w:type="dxa"/>
              <w:start w:w="120" w:type="dxa"/>
              <w:bottom w:w="90" w:type="dxa"/>
              <w:end w:w="120" w:type="dxa"/>
            </w:tcMar>
          </w:tcPr>
          <w:p>
            <w:pPr>
              <w:spacing w:after="20" w:line="240" w:lineRule="auto"/>
            </w:pPr>
            <w:r>
              <w:rPr>
                <w:sz w:val="16"/>
              </w:rPr>
              <w:t>Interview; document sample</w:t>
            </w:r>
          </w:p>
        </w:tc>
        <w:tc>
          <w:tcPr>
            <w:tcW w:type="dxa" w:w="1512"/>
            <w:vAlign w:val="center"/>
            <w:tcMar>
              <w:top w:w="90" w:type="dxa"/>
              <w:start w:w="120" w:type="dxa"/>
              <w:bottom w:w="90" w:type="dxa"/>
              <w:end w:w="120" w:type="dxa"/>
            </w:tcMar>
          </w:tcPr>
          <w:p>
            <w:pPr>
              <w:spacing w:after="20" w:line="240" w:lineRule="auto"/>
            </w:pPr>
            <w:r>
              <w:rPr>
                <w:sz w:val="16"/>
              </w:rPr>
              <w:t>Independent contractor</w:t>
            </w:r>
          </w:p>
        </w:tc>
        <w:tc>
          <w:tcPr>
            <w:tcW w:type="dxa" w:w="1224"/>
            <w:vAlign w:val="center"/>
            <w:tcMar>
              <w:top w:w="90" w:type="dxa"/>
              <w:start w:w="120" w:type="dxa"/>
              <w:bottom w:w="90" w:type="dxa"/>
              <w:end w:w="120" w:type="dxa"/>
            </w:tcMar>
          </w:tcPr>
          <w:p>
            <w:pPr>
              <w:spacing w:after="20" w:line="240" w:lineRule="auto"/>
            </w:pPr>
            <w:r>
              <w:rPr>
                <w:sz w:val="16"/>
              </w:rPr>
              <w:t>Report and actions</w:t>
            </w:r>
          </w:p>
        </w:tc>
      </w:tr>
      <w:tr>
        <w:tc>
          <w:tcPr>
            <w:tcW w:type="dxa" w:w="792"/>
            <w:shd w:fill="F6F8FA"/>
            <w:vAlign w:val="center"/>
            <w:tcMar>
              <w:top w:w="90" w:type="dxa"/>
              <w:start w:w="120" w:type="dxa"/>
              <w:bottom w:w="90" w:type="dxa"/>
              <w:end w:w="120" w:type="dxa"/>
            </w:tcMar>
          </w:tcPr>
          <w:p>
            <w:pPr>
              <w:spacing w:after="20" w:line="240" w:lineRule="auto"/>
            </w:pPr>
            <w:r>
              <w:rPr>
                <w:sz w:val="16"/>
              </w:rPr>
              <w:t>Q2</w:t>
            </w:r>
          </w:p>
        </w:tc>
        <w:tc>
          <w:tcPr>
            <w:tcW w:type="dxa" w:w="1944"/>
            <w:shd w:fill="F6F8FA"/>
            <w:vAlign w:val="center"/>
            <w:tcMar>
              <w:top w:w="90" w:type="dxa"/>
              <w:start w:w="120" w:type="dxa"/>
              <w:bottom w:w="90" w:type="dxa"/>
              <w:end w:w="120" w:type="dxa"/>
            </w:tcMar>
          </w:tcPr>
          <w:p>
            <w:pPr>
              <w:spacing w:after="20" w:line="240" w:lineRule="auto"/>
            </w:pPr>
            <w:r>
              <w:rPr>
                <w:sz w:val="16"/>
              </w:rPr>
              <w:t>Risk management and control selection</w:t>
            </w:r>
          </w:p>
        </w:tc>
        <w:tc>
          <w:tcPr>
            <w:tcW w:type="dxa" w:w="2376"/>
            <w:shd w:fill="F6F8FA"/>
            <w:vAlign w:val="center"/>
            <w:tcMar>
              <w:top w:w="90" w:type="dxa"/>
              <w:start w:w="120" w:type="dxa"/>
              <w:bottom w:w="90" w:type="dxa"/>
              <w:end w:w="120" w:type="dxa"/>
            </w:tcMar>
          </w:tcPr>
          <w:p>
            <w:pPr>
              <w:spacing w:after="20" w:line="240" w:lineRule="auto"/>
            </w:pPr>
            <w:r>
              <w:rPr>
                <w:sz w:val="16"/>
              </w:rPr>
              <w:t>Clauses 6, 8; methodology; register; SoA</w:t>
            </w:r>
          </w:p>
        </w:tc>
        <w:tc>
          <w:tcPr>
            <w:tcW w:type="dxa" w:w="1944"/>
            <w:shd w:fill="F6F8FA"/>
            <w:vAlign w:val="center"/>
            <w:tcMar>
              <w:top w:w="90" w:type="dxa"/>
              <w:start w:w="120" w:type="dxa"/>
              <w:bottom w:w="90" w:type="dxa"/>
              <w:end w:w="120" w:type="dxa"/>
            </w:tcMar>
          </w:tcPr>
          <w:p>
            <w:pPr>
              <w:spacing w:after="20" w:line="240" w:lineRule="auto"/>
            </w:pPr>
            <w:r>
              <w:rPr>
                <w:sz w:val="16"/>
              </w:rPr>
              <w:t>Trace sample risks to controls and evidence</w:t>
            </w:r>
          </w:p>
        </w:tc>
        <w:tc>
          <w:tcPr>
            <w:tcW w:type="dxa" w:w="1512"/>
            <w:shd w:fill="F6F8FA"/>
            <w:vAlign w:val="center"/>
            <w:tcMar>
              <w:top w:w="90" w:type="dxa"/>
              <w:start w:w="120" w:type="dxa"/>
              <w:bottom w:w="90" w:type="dxa"/>
              <w:end w:w="120" w:type="dxa"/>
            </w:tcMar>
          </w:tcPr>
          <w:p>
            <w:pPr>
              <w:spacing w:after="20" w:line="240" w:lineRule="auto"/>
            </w:pPr>
            <w:r>
              <w:rPr>
                <w:sz w:val="16"/>
              </w:rPr>
              <w:t>Independent contractor</w:t>
            </w:r>
          </w:p>
        </w:tc>
        <w:tc>
          <w:tcPr>
            <w:tcW w:type="dxa" w:w="1224"/>
            <w:shd w:fill="F6F8FA"/>
            <w:vAlign w:val="center"/>
            <w:tcMar>
              <w:top w:w="90" w:type="dxa"/>
              <w:start w:w="120" w:type="dxa"/>
              <w:bottom w:w="90" w:type="dxa"/>
              <w:end w:w="120" w:type="dxa"/>
            </w:tcMar>
          </w:tcPr>
          <w:p>
            <w:pPr>
              <w:spacing w:after="20" w:line="240" w:lineRule="auto"/>
            </w:pPr>
            <w:r>
              <w:rPr>
                <w:sz w:val="16"/>
              </w:rPr>
              <w:t>Report and actions</w:t>
            </w:r>
          </w:p>
        </w:tc>
      </w:tr>
      <w:tr>
        <w:tc>
          <w:tcPr>
            <w:tcW w:type="dxa" w:w="792"/>
            <w:vAlign w:val="center"/>
            <w:tcMar>
              <w:top w:w="90" w:type="dxa"/>
              <w:start w:w="120" w:type="dxa"/>
              <w:bottom w:w="90" w:type="dxa"/>
              <w:end w:w="120" w:type="dxa"/>
            </w:tcMar>
          </w:tcPr>
          <w:p>
            <w:pPr>
              <w:spacing w:after="20" w:line="240" w:lineRule="auto"/>
            </w:pPr>
            <w:r>
              <w:rPr>
                <w:sz w:val="16"/>
              </w:rPr>
              <w:t>Q3</w:t>
            </w:r>
          </w:p>
        </w:tc>
        <w:tc>
          <w:tcPr>
            <w:tcW w:type="dxa" w:w="1944"/>
            <w:vAlign w:val="center"/>
            <w:tcMar>
              <w:top w:w="90" w:type="dxa"/>
              <w:start w:w="120" w:type="dxa"/>
              <w:bottom w:w="90" w:type="dxa"/>
              <w:end w:w="120" w:type="dxa"/>
            </w:tcMar>
          </w:tcPr>
          <w:p>
            <w:pPr>
              <w:spacing w:after="20" w:line="240" w:lineRule="auto"/>
            </w:pPr>
            <w:r>
              <w:rPr>
                <w:sz w:val="16"/>
              </w:rPr>
              <w:t>Operational controls and suppliers</w:t>
            </w:r>
          </w:p>
        </w:tc>
        <w:tc>
          <w:tcPr>
            <w:tcW w:type="dxa" w:w="2376"/>
            <w:vAlign w:val="center"/>
            <w:tcMar>
              <w:top w:w="90" w:type="dxa"/>
              <w:start w:w="120" w:type="dxa"/>
              <w:bottom w:w="90" w:type="dxa"/>
              <w:end w:w="120" w:type="dxa"/>
            </w:tcMar>
          </w:tcPr>
          <w:p>
            <w:pPr>
              <w:spacing w:after="20" w:line="240" w:lineRule="auto"/>
            </w:pPr>
            <w:r>
              <w:rPr>
                <w:sz w:val="16"/>
              </w:rPr>
              <w:t>Applicable Annex A controls; contracts; operating records</w:t>
            </w:r>
          </w:p>
        </w:tc>
        <w:tc>
          <w:tcPr>
            <w:tcW w:type="dxa" w:w="1944"/>
            <w:vAlign w:val="center"/>
            <w:tcMar>
              <w:top w:w="90" w:type="dxa"/>
              <w:start w:w="120" w:type="dxa"/>
              <w:bottom w:w="90" w:type="dxa"/>
              <w:end w:w="120" w:type="dxa"/>
            </w:tcMar>
          </w:tcPr>
          <w:p>
            <w:pPr>
              <w:spacing w:after="20" w:line="240" w:lineRule="auto"/>
            </w:pPr>
            <w:r>
              <w:rPr>
                <w:sz w:val="16"/>
              </w:rPr>
              <w:t>Sampling; walkthrough; evidence review</w:t>
            </w:r>
          </w:p>
        </w:tc>
        <w:tc>
          <w:tcPr>
            <w:tcW w:type="dxa" w:w="1512"/>
            <w:vAlign w:val="center"/>
            <w:tcMar>
              <w:top w:w="90" w:type="dxa"/>
              <w:start w:w="120" w:type="dxa"/>
              <w:bottom w:w="90" w:type="dxa"/>
              <w:end w:w="120" w:type="dxa"/>
            </w:tcMar>
          </w:tcPr>
          <w:p>
            <w:pPr>
              <w:spacing w:after="20" w:line="240" w:lineRule="auto"/>
            </w:pPr>
            <w:r>
              <w:rPr>
                <w:sz w:val="16"/>
              </w:rPr>
              <w:t>Independent contractor</w:t>
            </w:r>
          </w:p>
        </w:tc>
        <w:tc>
          <w:tcPr>
            <w:tcW w:type="dxa" w:w="1224"/>
            <w:vAlign w:val="center"/>
            <w:tcMar>
              <w:top w:w="90" w:type="dxa"/>
              <w:start w:w="120" w:type="dxa"/>
              <w:bottom w:w="90" w:type="dxa"/>
              <w:end w:w="120" w:type="dxa"/>
            </w:tcMar>
          </w:tcPr>
          <w:p>
            <w:pPr>
              <w:spacing w:after="20" w:line="240" w:lineRule="auto"/>
            </w:pPr>
            <w:r>
              <w:rPr>
                <w:sz w:val="16"/>
              </w:rPr>
              <w:t>Report and actions</w:t>
            </w:r>
          </w:p>
        </w:tc>
      </w:tr>
      <w:tr>
        <w:tc>
          <w:tcPr>
            <w:tcW w:type="dxa" w:w="792"/>
            <w:shd w:fill="F6F8FA"/>
            <w:vAlign w:val="center"/>
            <w:tcMar>
              <w:top w:w="90" w:type="dxa"/>
              <w:start w:w="120" w:type="dxa"/>
              <w:bottom w:w="90" w:type="dxa"/>
              <w:end w:w="120" w:type="dxa"/>
            </w:tcMar>
          </w:tcPr>
          <w:p>
            <w:pPr>
              <w:spacing w:after="20" w:line="240" w:lineRule="auto"/>
            </w:pPr>
            <w:r>
              <w:rPr>
                <w:sz w:val="16"/>
              </w:rPr>
              <w:t>Q4</w:t>
            </w:r>
          </w:p>
        </w:tc>
        <w:tc>
          <w:tcPr>
            <w:tcW w:type="dxa" w:w="1944"/>
            <w:shd w:fill="F6F8FA"/>
            <w:vAlign w:val="center"/>
            <w:tcMar>
              <w:top w:w="90" w:type="dxa"/>
              <w:start w:w="120" w:type="dxa"/>
              <w:bottom w:w="90" w:type="dxa"/>
              <w:end w:w="120" w:type="dxa"/>
            </w:tcMar>
          </w:tcPr>
          <w:p>
            <w:pPr>
              <w:spacing w:after="20" w:line="240" w:lineRule="auto"/>
            </w:pPr>
            <w:r>
              <w:rPr>
                <w:sz w:val="16"/>
              </w:rPr>
              <w:t>Performance and improvement</w:t>
            </w:r>
          </w:p>
        </w:tc>
        <w:tc>
          <w:tcPr>
            <w:tcW w:type="dxa" w:w="2376"/>
            <w:shd w:fill="F6F8FA"/>
            <w:vAlign w:val="center"/>
            <w:tcMar>
              <w:top w:w="90" w:type="dxa"/>
              <w:start w:w="120" w:type="dxa"/>
              <w:bottom w:w="90" w:type="dxa"/>
              <w:end w:w="120" w:type="dxa"/>
            </w:tcMar>
          </w:tcPr>
          <w:p>
            <w:pPr>
              <w:spacing w:after="20" w:line="240" w:lineRule="auto"/>
            </w:pPr>
            <w:r>
              <w:rPr>
                <w:sz w:val="16"/>
              </w:rPr>
              <w:t>Clauses 9–10; objectives; incidents; corrective actions</w:t>
            </w:r>
          </w:p>
        </w:tc>
        <w:tc>
          <w:tcPr>
            <w:tcW w:type="dxa" w:w="1944"/>
            <w:shd w:fill="F6F8FA"/>
            <w:vAlign w:val="center"/>
            <w:tcMar>
              <w:top w:w="90" w:type="dxa"/>
              <w:start w:w="120" w:type="dxa"/>
              <w:bottom w:w="90" w:type="dxa"/>
              <w:end w:w="120" w:type="dxa"/>
            </w:tcMar>
          </w:tcPr>
          <w:p>
            <w:pPr>
              <w:spacing w:after="20" w:line="240" w:lineRule="auto"/>
            </w:pPr>
            <w:r>
              <w:rPr>
                <w:sz w:val="16"/>
              </w:rPr>
              <w:t>Records review; interviews</w:t>
            </w:r>
          </w:p>
        </w:tc>
        <w:tc>
          <w:tcPr>
            <w:tcW w:type="dxa" w:w="1512"/>
            <w:shd w:fill="F6F8FA"/>
            <w:vAlign w:val="center"/>
            <w:tcMar>
              <w:top w:w="90" w:type="dxa"/>
              <w:start w:w="120" w:type="dxa"/>
              <w:bottom w:w="90" w:type="dxa"/>
              <w:end w:w="120" w:type="dxa"/>
            </w:tcMar>
          </w:tcPr>
          <w:p>
            <w:pPr>
              <w:spacing w:after="20" w:line="240" w:lineRule="auto"/>
            </w:pPr>
            <w:r>
              <w:rPr>
                <w:sz w:val="16"/>
              </w:rPr>
              <w:t>Independent contractor</w:t>
            </w:r>
          </w:p>
        </w:tc>
        <w:tc>
          <w:tcPr>
            <w:tcW w:type="dxa" w:w="1224"/>
            <w:shd w:fill="F6F8FA"/>
            <w:vAlign w:val="center"/>
            <w:tcMar>
              <w:top w:w="90" w:type="dxa"/>
              <w:start w:w="120" w:type="dxa"/>
              <w:bottom w:w="90" w:type="dxa"/>
              <w:end w:w="120" w:type="dxa"/>
            </w:tcMar>
          </w:tcPr>
          <w:p>
            <w:pPr>
              <w:spacing w:after="20" w:line="240" w:lineRule="auto"/>
            </w:pPr>
            <w:r>
              <w:rPr>
                <w:sz w:val="16"/>
              </w:rPr>
              <w:t>Report and programme review</w:t>
            </w:r>
          </w:p>
        </w:tc>
      </w:tr>
    </w:tbl>
    <w:p/>
    <w:p>
      <w:pPr>
        <w:pStyle w:val="Heading1"/>
      </w:pPr>
      <w:r>
        <w:t>2. Illustrative internal audit report – Q2 2026</w:t>
      </w:r>
    </w:p>
    <w:tbl>
      <w:tblPr>
        <w:tblStyle w:val="TableGrid"/>
        <w:tblW w:type="dxa" w:w="9792"/>
        <w:jc w:val="center"/>
        <w:tblLayout w:type="fixed"/>
        <w:tblLook w:firstColumn="1" w:firstRow="1" w:lastColumn="0" w:lastRow="0" w:noHBand="0" w:noVBand="1" w:val="04A0"/>
      </w:tblPr>
      <w:tblGrid>
        <w:gridCol w:w="4896"/>
        <w:gridCol w:w="4896"/>
      </w:tblGrid>
      <w:tr>
        <w:trPr>
          <w:tblHeader w:val="true"/>
        </w:trPr>
        <w:tc>
          <w:tcPr>
            <w:tcW w:type="dxa" w:w="2088"/>
            <w:shd w:fill="1F4E79"/>
            <w:vAlign w:val="center"/>
            <w:tcMar>
              <w:top w:w="90" w:type="dxa"/>
              <w:start w:w="120" w:type="dxa"/>
              <w:bottom w:w="90" w:type="dxa"/>
              <w:end w:w="120" w:type="dxa"/>
            </w:tcMar>
          </w:tcPr>
          <w:p>
            <w:r>
              <w:rPr>
                <w:b/>
                <w:color w:val="FFFFFF"/>
                <w:sz w:val="17"/>
              </w:rPr>
              <w:t>Field</w:t>
            </w:r>
          </w:p>
        </w:tc>
        <w:tc>
          <w:tcPr>
            <w:tcW w:type="dxa" w:w="7704"/>
            <w:shd w:fill="1F4E79"/>
            <w:vAlign w:val="center"/>
            <w:tcMar>
              <w:top w:w="90" w:type="dxa"/>
              <w:start w:w="120" w:type="dxa"/>
              <w:bottom w:w="90" w:type="dxa"/>
              <w:end w:w="120" w:type="dxa"/>
            </w:tcMar>
          </w:tcPr>
          <w:p>
            <w:r>
              <w:rPr>
                <w:b/>
                <w:color w:val="FFFFFF"/>
                <w:sz w:val="17"/>
              </w:rPr>
              <w:t>Detail</w:t>
            </w:r>
          </w:p>
        </w:tc>
      </w:tr>
      <w:tr>
        <w:tc>
          <w:tcPr>
            <w:tcW w:type="dxa" w:w="2088"/>
            <w:vAlign w:val="center"/>
            <w:tcMar>
              <w:top w:w="90" w:type="dxa"/>
              <w:start w:w="120" w:type="dxa"/>
              <w:bottom w:w="90" w:type="dxa"/>
              <w:end w:w="120" w:type="dxa"/>
            </w:tcMar>
          </w:tcPr>
          <w:p>
            <w:pPr>
              <w:spacing w:after="20" w:line="240" w:lineRule="auto"/>
            </w:pPr>
            <w:r>
              <w:rPr>
                <w:sz w:val="17"/>
              </w:rPr>
              <w:t>Audit objective</w:t>
            </w:r>
          </w:p>
        </w:tc>
        <w:tc>
          <w:tcPr>
            <w:tcW w:type="dxa" w:w="7704"/>
            <w:vAlign w:val="center"/>
            <w:tcMar>
              <w:top w:w="90" w:type="dxa"/>
              <w:start w:w="120" w:type="dxa"/>
              <w:bottom w:w="90" w:type="dxa"/>
              <w:end w:w="120" w:type="dxa"/>
            </w:tcMar>
          </w:tcPr>
          <w:p>
            <w:pPr>
              <w:spacing w:after="20" w:line="240" w:lineRule="auto"/>
            </w:pPr>
            <w:r>
              <w:rPr>
                <w:sz w:val="17"/>
              </w:rPr>
              <w:t>Determine whether risk assessment, treatment and control-selection processes conform to planned arrangements and are effectively implemented.</w:t>
            </w:r>
          </w:p>
        </w:tc>
      </w:tr>
      <w:tr>
        <w:tc>
          <w:tcPr>
            <w:tcW w:type="dxa" w:w="2088"/>
            <w:shd w:fill="F6F8FA"/>
            <w:vAlign w:val="center"/>
            <w:tcMar>
              <w:top w:w="90" w:type="dxa"/>
              <w:start w:w="120" w:type="dxa"/>
              <w:bottom w:w="90" w:type="dxa"/>
              <w:end w:w="120" w:type="dxa"/>
            </w:tcMar>
          </w:tcPr>
          <w:p>
            <w:pPr>
              <w:spacing w:after="20" w:line="240" w:lineRule="auto"/>
            </w:pPr>
            <w:r>
              <w:rPr>
                <w:sz w:val="17"/>
              </w:rPr>
              <w:t>Scope</w:t>
            </w:r>
          </w:p>
        </w:tc>
        <w:tc>
          <w:tcPr>
            <w:tcW w:type="dxa" w:w="7704"/>
            <w:shd w:fill="F6F8FA"/>
            <w:vAlign w:val="center"/>
            <w:tcMar>
              <w:top w:w="90" w:type="dxa"/>
              <w:start w:w="120" w:type="dxa"/>
              <w:bottom w:w="90" w:type="dxa"/>
              <w:end w:w="120" w:type="dxa"/>
            </w:tcMar>
          </w:tcPr>
          <w:p>
            <w:pPr>
              <w:spacing w:after="20" w:line="240" w:lineRule="auto"/>
            </w:pPr>
            <w:r>
              <w:rPr>
                <w:sz w:val="17"/>
              </w:rPr>
              <w:t>ISMS-RA-001, REG-RR-001, ISMS-SOA-001 and PLAN-RTP-001.</w:t>
            </w:r>
          </w:p>
        </w:tc>
      </w:tr>
      <w:tr>
        <w:tc>
          <w:tcPr>
            <w:tcW w:type="dxa" w:w="2088"/>
            <w:vAlign w:val="center"/>
            <w:tcMar>
              <w:top w:w="90" w:type="dxa"/>
              <w:start w:w="120" w:type="dxa"/>
              <w:bottom w:w="90" w:type="dxa"/>
              <w:end w:w="120" w:type="dxa"/>
            </w:tcMar>
          </w:tcPr>
          <w:p>
            <w:pPr>
              <w:spacing w:after="20" w:line="240" w:lineRule="auto"/>
            </w:pPr>
            <w:r>
              <w:rPr>
                <w:sz w:val="17"/>
              </w:rPr>
              <w:t>Criteria</w:t>
            </w:r>
          </w:p>
        </w:tc>
        <w:tc>
          <w:tcPr>
            <w:tcW w:type="dxa" w:w="7704"/>
            <w:vAlign w:val="center"/>
            <w:tcMar>
              <w:top w:w="90" w:type="dxa"/>
              <w:start w:w="120" w:type="dxa"/>
              <w:bottom w:w="90" w:type="dxa"/>
              <w:end w:w="120" w:type="dxa"/>
            </w:tcMar>
          </w:tcPr>
          <w:p>
            <w:pPr>
              <w:spacing w:after="20" w:line="240" w:lineRule="auto"/>
            </w:pPr>
            <w:r>
              <w:rPr>
                <w:sz w:val="17"/>
              </w:rPr>
              <w:t>ISO/IEC 27001:2022 clauses 6.1 and 8.2–8.3; Veltrixa controlled documents.</w:t>
            </w:r>
          </w:p>
        </w:tc>
      </w:tr>
      <w:tr>
        <w:tc>
          <w:tcPr>
            <w:tcW w:type="dxa" w:w="2088"/>
            <w:shd w:fill="F6F8FA"/>
            <w:vAlign w:val="center"/>
            <w:tcMar>
              <w:top w:w="90" w:type="dxa"/>
              <w:start w:w="120" w:type="dxa"/>
              <w:bottom w:w="90" w:type="dxa"/>
              <w:end w:w="120" w:type="dxa"/>
            </w:tcMar>
          </w:tcPr>
          <w:p>
            <w:pPr>
              <w:spacing w:after="20" w:line="240" w:lineRule="auto"/>
            </w:pPr>
            <w:r>
              <w:rPr>
                <w:sz w:val="17"/>
              </w:rPr>
              <w:t>Methods</w:t>
            </w:r>
          </w:p>
        </w:tc>
        <w:tc>
          <w:tcPr>
            <w:tcW w:type="dxa" w:w="7704"/>
            <w:shd w:fill="F6F8FA"/>
            <w:vAlign w:val="center"/>
            <w:tcMar>
              <w:top w:w="90" w:type="dxa"/>
              <w:start w:w="120" w:type="dxa"/>
              <w:bottom w:w="90" w:type="dxa"/>
              <w:end w:w="120" w:type="dxa"/>
            </w:tcMar>
          </w:tcPr>
          <w:p>
            <w:pPr>
              <w:spacing w:after="20" w:line="240" w:lineRule="auto"/>
            </w:pPr>
            <w:r>
              <w:rPr>
                <w:sz w:val="17"/>
              </w:rPr>
              <w:t>Document review, traceability sample of risks R-01, R-03, R-07 and R-08, and interviews with ISMS Owner and DevOps Lead.</w:t>
            </w:r>
          </w:p>
        </w:tc>
      </w:tr>
      <w:tr>
        <w:tc>
          <w:tcPr>
            <w:tcW w:type="dxa" w:w="2088"/>
            <w:vAlign w:val="center"/>
            <w:tcMar>
              <w:top w:w="90" w:type="dxa"/>
              <w:start w:w="120" w:type="dxa"/>
              <w:bottom w:w="90" w:type="dxa"/>
              <w:end w:w="120" w:type="dxa"/>
            </w:tcMar>
          </w:tcPr>
          <w:p>
            <w:pPr>
              <w:spacing w:after="20" w:line="240" w:lineRule="auto"/>
            </w:pPr>
            <w:r>
              <w:rPr>
                <w:sz w:val="17"/>
              </w:rPr>
              <w:t>Date / auditor</w:t>
            </w:r>
          </w:p>
        </w:tc>
        <w:tc>
          <w:tcPr>
            <w:tcW w:type="dxa" w:w="7704"/>
            <w:vAlign w:val="center"/>
            <w:tcMar>
              <w:top w:w="90" w:type="dxa"/>
              <w:start w:w="120" w:type="dxa"/>
              <w:bottom w:w="90" w:type="dxa"/>
              <w:end w:w="120" w:type="dxa"/>
            </w:tcMar>
          </w:tcPr>
          <w:p>
            <w:pPr>
              <w:spacing w:after="20" w:line="240" w:lineRule="auto"/>
            </w:pPr>
            <w:r>
              <w:rPr>
                <w:sz w:val="17"/>
              </w:rPr>
              <w:t>20 July 2026 / independent portfolio auditor.</w:t>
            </w:r>
          </w:p>
        </w:tc>
      </w:tr>
      <w:tr>
        <w:tc>
          <w:tcPr>
            <w:tcW w:type="dxa" w:w="2088"/>
            <w:shd w:fill="F6F8FA"/>
            <w:vAlign w:val="center"/>
            <w:tcMar>
              <w:top w:w="90" w:type="dxa"/>
              <w:start w:w="120" w:type="dxa"/>
              <w:bottom w:w="90" w:type="dxa"/>
              <w:end w:w="120" w:type="dxa"/>
            </w:tcMar>
          </w:tcPr>
          <w:p>
            <w:pPr>
              <w:spacing w:after="20" w:line="240" w:lineRule="auto"/>
            </w:pPr>
            <w:r>
              <w:rPr>
                <w:sz w:val="17"/>
              </w:rPr>
              <w:t>Limitation</w:t>
            </w:r>
          </w:p>
        </w:tc>
        <w:tc>
          <w:tcPr>
            <w:tcW w:type="dxa" w:w="7704"/>
            <w:shd w:fill="F6F8FA"/>
            <w:vAlign w:val="center"/>
            <w:tcMar>
              <w:top w:w="90" w:type="dxa"/>
              <w:start w:w="120" w:type="dxa"/>
              <w:bottom w:w="90" w:type="dxa"/>
              <w:end w:w="120" w:type="dxa"/>
            </w:tcMar>
          </w:tcPr>
          <w:p>
            <w:pPr>
              <w:spacing w:after="20" w:line="240" w:lineRule="auto"/>
            </w:pPr>
            <w:r>
              <w:rPr>
                <w:sz w:val="17"/>
              </w:rPr>
              <w:t>Illustrative portfolio record; no live-system evidence was inspected.</w:t>
            </w:r>
          </w:p>
        </w:tc>
      </w:tr>
    </w:tbl>
    <w:p/>
    <w:p>
      <w:pPr>
        <w:pStyle w:val="Heading1"/>
      </w:pPr>
      <w:r>
        <w:t>3. Findings</w:t>
      </w:r>
    </w:p>
    <w:tbl>
      <w:tblPr>
        <w:tblStyle w:val="TableGrid"/>
        <w:tblW w:type="dxa" w:w="9792"/>
        <w:jc w:val="center"/>
        <w:tblLayout w:type="fixed"/>
        <w:tblLook w:firstColumn="1" w:firstRow="1" w:lastColumn="0" w:lastRow="0" w:noHBand="0" w:noVBand="1" w:val="04A0"/>
      </w:tblPr>
      <w:tblGrid>
        <w:gridCol w:w="1632"/>
        <w:gridCol w:w="1632"/>
        <w:gridCol w:w="1632"/>
        <w:gridCol w:w="1632"/>
        <w:gridCol w:w="1632"/>
        <w:gridCol w:w="1632"/>
      </w:tblGrid>
      <w:tr>
        <w:trPr>
          <w:tblHeader w:val="true"/>
        </w:trPr>
        <w:tc>
          <w:tcPr>
            <w:tcW w:type="dxa" w:w="792"/>
            <w:shd w:fill="1F4E79"/>
            <w:vAlign w:val="center"/>
            <w:tcMar>
              <w:top w:w="90" w:type="dxa"/>
              <w:start w:w="120" w:type="dxa"/>
              <w:bottom w:w="90" w:type="dxa"/>
              <w:end w:w="120" w:type="dxa"/>
            </w:tcMar>
          </w:tcPr>
          <w:p>
            <w:r>
              <w:rPr>
                <w:b/>
                <w:color w:val="FFFFFF"/>
                <w:sz w:val="15"/>
              </w:rPr>
              <w:t>ID</w:t>
            </w:r>
          </w:p>
        </w:tc>
        <w:tc>
          <w:tcPr>
            <w:tcW w:type="dxa" w:w="1152"/>
            <w:shd w:fill="1F4E79"/>
            <w:vAlign w:val="center"/>
            <w:tcMar>
              <w:top w:w="90" w:type="dxa"/>
              <w:start w:w="120" w:type="dxa"/>
              <w:bottom w:w="90" w:type="dxa"/>
              <w:end w:w="120" w:type="dxa"/>
            </w:tcMar>
          </w:tcPr>
          <w:p>
            <w:r>
              <w:rPr>
                <w:b/>
                <w:color w:val="FFFFFF"/>
                <w:sz w:val="15"/>
              </w:rPr>
              <w:t>Type</w:t>
            </w:r>
          </w:p>
        </w:tc>
        <w:tc>
          <w:tcPr>
            <w:tcW w:type="dxa" w:w="3024"/>
            <w:shd w:fill="1F4E79"/>
            <w:vAlign w:val="center"/>
            <w:tcMar>
              <w:top w:w="90" w:type="dxa"/>
              <w:start w:w="120" w:type="dxa"/>
              <w:bottom w:w="90" w:type="dxa"/>
              <w:end w:w="120" w:type="dxa"/>
            </w:tcMar>
          </w:tcPr>
          <w:p>
            <w:r>
              <w:rPr>
                <w:b/>
                <w:color w:val="FFFFFF"/>
                <w:sz w:val="15"/>
              </w:rPr>
              <w:t>Finding</w:t>
            </w:r>
          </w:p>
        </w:tc>
        <w:tc>
          <w:tcPr>
            <w:tcW w:type="dxa" w:w="1440"/>
            <w:shd w:fill="1F4E79"/>
            <w:vAlign w:val="center"/>
            <w:tcMar>
              <w:top w:w="90" w:type="dxa"/>
              <w:start w:w="120" w:type="dxa"/>
              <w:bottom w:w="90" w:type="dxa"/>
              <w:end w:w="120" w:type="dxa"/>
            </w:tcMar>
          </w:tcPr>
          <w:p>
            <w:r>
              <w:rPr>
                <w:b/>
                <w:color w:val="FFFFFF"/>
                <w:sz w:val="15"/>
              </w:rPr>
              <w:t>Criterion</w:t>
            </w:r>
          </w:p>
        </w:tc>
        <w:tc>
          <w:tcPr>
            <w:tcW w:type="dxa" w:w="2520"/>
            <w:shd w:fill="1F4E79"/>
            <w:vAlign w:val="center"/>
            <w:tcMar>
              <w:top w:w="90" w:type="dxa"/>
              <w:start w:w="120" w:type="dxa"/>
              <w:bottom w:w="90" w:type="dxa"/>
              <w:end w:w="120" w:type="dxa"/>
            </w:tcMar>
          </w:tcPr>
          <w:p>
            <w:r>
              <w:rPr>
                <w:b/>
                <w:color w:val="FFFFFF"/>
                <w:sz w:val="15"/>
              </w:rPr>
              <w:t>Required action</w:t>
            </w:r>
          </w:p>
        </w:tc>
        <w:tc>
          <w:tcPr>
            <w:tcW w:type="dxa" w:w="864"/>
            <w:shd w:fill="1F4E79"/>
            <w:vAlign w:val="center"/>
            <w:tcMar>
              <w:top w:w="90" w:type="dxa"/>
              <w:start w:w="120" w:type="dxa"/>
              <w:bottom w:w="90" w:type="dxa"/>
              <w:end w:w="120" w:type="dxa"/>
            </w:tcMar>
          </w:tcPr>
          <w:p>
            <w:r>
              <w:rPr>
                <w:b/>
                <w:color w:val="FFFFFF"/>
                <w:sz w:val="15"/>
              </w:rPr>
              <w:t>Status</w:t>
            </w:r>
          </w:p>
        </w:tc>
      </w:tr>
      <w:tr>
        <w:tc>
          <w:tcPr>
            <w:tcW w:type="dxa" w:w="792"/>
            <w:vAlign w:val="center"/>
            <w:tcMar>
              <w:top w:w="90" w:type="dxa"/>
              <w:start w:w="120" w:type="dxa"/>
              <w:bottom w:w="90" w:type="dxa"/>
              <w:end w:w="120" w:type="dxa"/>
            </w:tcMar>
          </w:tcPr>
          <w:p>
            <w:pPr>
              <w:spacing w:after="20" w:line="240" w:lineRule="auto"/>
            </w:pPr>
            <w:r>
              <w:rPr>
                <w:sz w:val="15"/>
              </w:rPr>
              <w:t>NC-01</w:t>
            </w:r>
          </w:p>
        </w:tc>
        <w:tc>
          <w:tcPr>
            <w:tcW w:type="dxa" w:w="1152"/>
            <w:vAlign w:val="center"/>
            <w:tcMar>
              <w:top w:w="90" w:type="dxa"/>
              <w:start w:w="120" w:type="dxa"/>
              <w:bottom w:w="90" w:type="dxa"/>
              <w:end w:w="120" w:type="dxa"/>
            </w:tcMar>
          </w:tcPr>
          <w:p>
            <w:pPr>
              <w:spacing w:after="20" w:line="240" w:lineRule="auto"/>
            </w:pPr>
            <w:r>
              <w:rPr>
                <w:sz w:val="15"/>
              </w:rPr>
              <w:t>Minor nonconformity</w:t>
            </w:r>
          </w:p>
        </w:tc>
        <w:tc>
          <w:tcPr>
            <w:tcW w:type="dxa" w:w="3024"/>
            <w:vAlign w:val="center"/>
            <w:tcMar>
              <w:top w:w="90" w:type="dxa"/>
              <w:start w:w="120" w:type="dxa"/>
              <w:bottom w:w="90" w:type="dxa"/>
              <w:end w:w="120" w:type="dxa"/>
            </w:tcMar>
          </w:tcPr>
          <w:p>
            <w:pPr>
              <w:spacing w:after="20" w:line="240" w:lineRule="auto"/>
            </w:pPr>
            <w:r>
              <w:rPr>
                <w:sz w:val="15"/>
              </w:rPr>
              <w:t>Risk review frequency was stated but evidence of a completed scheduled review was not defined for every risk.</w:t>
            </w:r>
          </w:p>
        </w:tc>
        <w:tc>
          <w:tcPr>
            <w:tcW w:type="dxa" w:w="1440"/>
            <w:vAlign w:val="center"/>
            <w:tcMar>
              <w:top w:w="90" w:type="dxa"/>
              <w:start w:w="120" w:type="dxa"/>
              <w:bottom w:w="90" w:type="dxa"/>
              <w:end w:w="120" w:type="dxa"/>
            </w:tcMar>
          </w:tcPr>
          <w:p>
            <w:pPr>
              <w:spacing w:after="20" w:line="240" w:lineRule="auto"/>
            </w:pPr>
            <w:r>
              <w:rPr>
                <w:sz w:val="15"/>
              </w:rPr>
              <w:t>Clause 8.2; ISMS-RA-001</w:t>
            </w:r>
          </w:p>
        </w:tc>
        <w:tc>
          <w:tcPr>
            <w:tcW w:type="dxa" w:w="2520"/>
            <w:vAlign w:val="center"/>
            <w:tcMar>
              <w:top w:w="90" w:type="dxa"/>
              <w:start w:w="120" w:type="dxa"/>
              <w:bottom w:w="90" w:type="dxa"/>
              <w:end w:w="120" w:type="dxa"/>
            </w:tcMar>
          </w:tcPr>
          <w:p>
            <w:pPr>
              <w:spacing w:after="20" w:line="240" w:lineRule="auto"/>
            </w:pPr>
            <w:r>
              <w:rPr>
                <w:sz w:val="15"/>
              </w:rPr>
              <w:t>Create review log field and retain approval record.</w:t>
            </w:r>
          </w:p>
        </w:tc>
        <w:tc>
          <w:tcPr>
            <w:tcW w:type="dxa" w:w="864"/>
            <w:vAlign w:val="center"/>
            <w:tcMar>
              <w:top w:w="90" w:type="dxa"/>
              <w:start w:w="120" w:type="dxa"/>
              <w:bottom w:w="90" w:type="dxa"/>
              <w:end w:w="120" w:type="dxa"/>
            </w:tcMar>
          </w:tcPr>
          <w:p>
            <w:pPr>
              <w:spacing w:after="20" w:line="240" w:lineRule="auto"/>
            </w:pPr>
            <w:r>
              <w:rPr>
                <w:sz w:val="15"/>
              </w:rPr>
              <w:t>Open</w:t>
            </w:r>
          </w:p>
        </w:tc>
      </w:tr>
      <w:tr>
        <w:tc>
          <w:tcPr>
            <w:tcW w:type="dxa" w:w="792"/>
            <w:shd w:fill="F6F8FA"/>
            <w:vAlign w:val="center"/>
            <w:tcMar>
              <w:top w:w="90" w:type="dxa"/>
              <w:start w:w="120" w:type="dxa"/>
              <w:bottom w:w="90" w:type="dxa"/>
              <w:end w:w="120" w:type="dxa"/>
            </w:tcMar>
          </w:tcPr>
          <w:p>
            <w:pPr>
              <w:spacing w:after="20" w:line="240" w:lineRule="auto"/>
            </w:pPr>
            <w:r>
              <w:rPr>
                <w:sz w:val="15"/>
              </w:rPr>
              <w:t>OFI-01</w:t>
            </w:r>
          </w:p>
        </w:tc>
        <w:tc>
          <w:tcPr>
            <w:tcW w:type="dxa" w:w="1152"/>
            <w:shd w:fill="F6F8FA"/>
            <w:vAlign w:val="center"/>
            <w:tcMar>
              <w:top w:w="90" w:type="dxa"/>
              <w:start w:w="120" w:type="dxa"/>
              <w:bottom w:w="90" w:type="dxa"/>
              <w:end w:w="120" w:type="dxa"/>
            </w:tcMar>
          </w:tcPr>
          <w:p>
            <w:pPr>
              <w:spacing w:after="20" w:line="240" w:lineRule="auto"/>
            </w:pPr>
            <w:r>
              <w:rPr>
                <w:sz w:val="15"/>
              </w:rPr>
              <w:t>Opportunity for improvement</w:t>
            </w:r>
          </w:p>
        </w:tc>
        <w:tc>
          <w:tcPr>
            <w:tcW w:type="dxa" w:w="3024"/>
            <w:shd w:fill="F6F8FA"/>
            <w:vAlign w:val="center"/>
            <w:tcMar>
              <w:top w:w="90" w:type="dxa"/>
              <w:start w:w="120" w:type="dxa"/>
              <w:bottom w:w="90" w:type="dxa"/>
              <w:end w:w="120" w:type="dxa"/>
            </w:tcMar>
          </w:tcPr>
          <w:p>
            <w:pPr>
              <w:spacing w:after="20" w:line="240" w:lineRule="auto"/>
            </w:pPr>
            <w:r>
              <w:rPr>
                <w:sz w:val="15"/>
              </w:rPr>
              <w:t>SoA implementation references are broad and could identify evidence owners and locations more precisely.</w:t>
            </w:r>
          </w:p>
        </w:tc>
        <w:tc>
          <w:tcPr>
            <w:tcW w:type="dxa" w:w="1440"/>
            <w:shd w:fill="F6F8FA"/>
            <w:vAlign w:val="center"/>
            <w:tcMar>
              <w:top w:w="90" w:type="dxa"/>
              <w:start w:w="120" w:type="dxa"/>
              <w:bottom w:w="90" w:type="dxa"/>
              <w:end w:w="120" w:type="dxa"/>
            </w:tcMar>
          </w:tcPr>
          <w:p>
            <w:pPr>
              <w:spacing w:after="20" w:line="240" w:lineRule="auto"/>
            </w:pPr>
            <w:r>
              <w:rPr>
                <w:sz w:val="15"/>
              </w:rPr>
              <w:t>Clause 6.1.3</w:t>
            </w:r>
          </w:p>
        </w:tc>
        <w:tc>
          <w:tcPr>
            <w:tcW w:type="dxa" w:w="2520"/>
            <w:shd w:fill="F6F8FA"/>
            <w:vAlign w:val="center"/>
            <w:tcMar>
              <w:top w:w="90" w:type="dxa"/>
              <w:start w:w="120" w:type="dxa"/>
              <w:bottom w:w="90" w:type="dxa"/>
              <w:end w:w="120" w:type="dxa"/>
            </w:tcMar>
          </w:tcPr>
          <w:p>
            <w:pPr>
              <w:spacing w:after="20" w:line="240" w:lineRule="auto"/>
            </w:pPr>
            <w:r>
              <w:rPr>
                <w:sz w:val="15"/>
              </w:rPr>
              <w:t>Add an evidence-index column in the next SoA revision.</w:t>
            </w:r>
          </w:p>
        </w:tc>
        <w:tc>
          <w:tcPr>
            <w:tcW w:type="dxa" w:w="864"/>
            <w:shd w:fill="F6F8FA"/>
            <w:vAlign w:val="center"/>
            <w:tcMar>
              <w:top w:w="90" w:type="dxa"/>
              <w:start w:w="120" w:type="dxa"/>
              <w:bottom w:w="90" w:type="dxa"/>
              <w:end w:w="120" w:type="dxa"/>
            </w:tcMar>
          </w:tcPr>
          <w:p>
            <w:pPr>
              <w:spacing w:after="20" w:line="240" w:lineRule="auto"/>
            </w:pPr>
            <w:r>
              <w:rPr>
                <w:sz w:val="15"/>
              </w:rPr>
              <w:t>Open</w:t>
            </w:r>
          </w:p>
        </w:tc>
      </w:tr>
      <w:tr>
        <w:tc>
          <w:tcPr>
            <w:tcW w:type="dxa" w:w="792"/>
            <w:vAlign w:val="center"/>
            <w:tcMar>
              <w:top w:w="90" w:type="dxa"/>
              <w:start w:w="120" w:type="dxa"/>
              <w:bottom w:w="90" w:type="dxa"/>
              <w:end w:w="120" w:type="dxa"/>
            </w:tcMar>
          </w:tcPr>
          <w:p>
            <w:pPr>
              <w:spacing w:after="20" w:line="240" w:lineRule="auto"/>
            </w:pPr>
            <w:r>
              <w:rPr>
                <w:sz w:val="15"/>
              </w:rPr>
              <w:t>CONF-01</w:t>
            </w:r>
          </w:p>
        </w:tc>
        <w:tc>
          <w:tcPr>
            <w:tcW w:type="dxa" w:w="1152"/>
            <w:vAlign w:val="center"/>
            <w:tcMar>
              <w:top w:w="90" w:type="dxa"/>
              <w:start w:w="120" w:type="dxa"/>
              <w:bottom w:w="90" w:type="dxa"/>
              <w:end w:w="120" w:type="dxa"/>
            </w:tcMar>
          </w:tcPr>
          <w:p>
            <w:pPr>
              <w:spacing w:after="20" w:line="240" w:lineRule="auto"/>
            </w:pPr>
            <w:r>
              <w:rPr>
                <w:sz w:val="15"/>
              </w:rPr>
              <w:t>Conformity</w:t>
            </w:r>
          </w:p>
        </w:tc>
        <w:tc>
          <w:tcPr>
            <w:tcW w:type="dxa" w:w="3024"/>
            <w:vAlign w:val="center"/>
            <w:tcMar>
              <w:top w:w="90" w:type="dxa"/>
              <w:start w:w="120" w:type="dxa"/>
              <w:bottom w:w="90" w:type="dxa"/>
              <w:end w:w="120" w:type="dxa"/>
            </w:tcMar>
          </w:tcPr>
          <w:p>
            <w:pPr>
              <w:spacing w:after="20" w:line="240" w:lineRule="auto"/>
            </w:pPr>
            <w:r>
              <w:rPr>
                <w:sz w:val="15"/>
              </w:rPr>
              <w:t>Sampled treatment actions were traceable to risk IDs and identified owner, deadline and acceptance evidence.</w:t>
            </w:r>
          </w:p>
        </w:tc>
        <w:tc>
          <w:tcPr>
            <w:tcW w:type="dxa" w:w="1440"/>
            <w:vAlign w:val="center"/>
            <w:tcMar>
              <w:top w:w="90" w:type="dxa"/>
              <w:start w:w="120" w:type="dxa"/>
              <w:bottom w:w="90" w:type="dxa"/>
              <w:end w:w="120" w:type="dxa"/>
            </w:tcMar>
          </w:tcPr>
          <w:p>
            <w:pPr>
              <w:spacing w:after="20" w:line="240" w:lineRule="auto"/>
            </w:pPr>
            <w:r>
              <w:rPr>
                <w:sz w:val="15"/>
              </w:rPr>
              <w:t>Clause 6.1.3; 8.3</w:t>
            </w:r>
          </w:p>
        </w:tc>
        <w:tc>
          <w:tcPr>
            <w:tcW w:type="dxa" w:w="2520"/>
            <w:vAlign w:val="center"/>
            <w:tcMar>
              <w:top w:w="90" w:type="dxa"/>
              <w:start w:w="120" w:type="dxa"/>
              <w:bottom w:w="90" w:type="dxa"/>
              <w:end w:w="120" w:type="dxa"/>
            </w:tcMar>
          </w:tcPr>
          <w:p>
            <w:pPr>
              <w:spacing w:after="20" w:line="240" w:lineRule="auto"/>
            </w:pPr>
            <w:r>
              <w:rPr>
                <w:sz w:val="15"/>
              </w:rPr>
              <w:t>No action.</w:t>
            </w:r>
          </w:p>
        </w:tc>
        <w:tc>
          <w:tcPr>
            <w:tcW w:type="dxa" w:w="864"/>
            <w:vAlign w:val="center"/>
            <w:tcMar>
              <w:top w:w="90" w:type="dxa"/>
              <w:start w:w="120" w:type="dxa"/>
              <w:bottom w:w="90" w:type="dxa"/>
              <w:end w:w="120" w:type="dxa"/>
            </w:tcMar>
          </w:tcPr>
          <w:p>
            <w:pPr>
              <w:spacing w:after="20" w:line="240" w:lineRule="auto"/>
            </w:pPr>
            <w:r>
              <w:rPr>
                <w:sz w:val="15"/>
              </w:rPr>
              <w:t>Closed</w:t>
            </w:r>
          </w:p>
        </w:tc>
      </w:tr>
    </w:tbl>
    <w:p/>
    <w:p>
      <w:pPr>
        <w:pStyle w:val="Heading1"/>
      </w:pPr>
      <w:r>
        <w:t>4. Conclusion and follow-up</w:t>
      </w:r>
    </w:p>
    <w:p>
      <w:r>
        <w:t>The sampled process is substantially designed to conform to the defined criteria. One minor nonconformity requires correction and effectiveness review. The audit does not establish certification readiness because operational evidence and the complete ISMS were outside this illustrative exercise.</w:t>
      </w:r>
    </w:p>
    <w:p>
      <w:r>
        <w:t>The Internal Auditor issues the report to the CEO and ISMS Owner. Actions are transferred to REG-CAR-001 and followed to verified closure. Programme changes consider risk, organizational change and prior results.</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Internal / Portfolio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B6573"/>
        <w:sz w:val="16"/>
      </w:rPr>
      <w:t>VELTRIXA ApS  |  AUD-001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030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203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