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120"/>
        <w:jc w:val="center"/>
      </w:pPr>
      <w:r>
        <w:rPr>
          <w:rFonts w:ascii="Arial" w:cs="Arial" w:eastAsia="Arial" w:hAnsi="Arial"/>
          <w:b/>
          <w:bCs/>
          <w:color w:val="1F3864"/>
          <w:sz w:val="48"/>
          <w:szCs w:val="48"/>
        </w:rPr>
        <w:t xml:space="preserve">CLOUD ENGINEERING PROGRAM</w:t>
      </w:r>
    </w:p>
    <w:p>
      <w:pPr>
        <w:spacing w:after="80"/>
        <w:jc w:val="center"/>
      </w:pPr>
      <w:r>
        <w:rPr>
          <w:rFonts w:ascii="Arial" w:cs="Arial" w:eastAsia="Arial" w:hAnsi="Arial"/>
          <w:color w:val="2E75B6"/>
          <w:sz w:val="32"/>
          <w:szCs w:val="32"/>
        </w:rPr>
        <w:t xml:space="preserve">Session 11 — Official Summary Report</w:t>
      </w:r>
    </w:p>
    <w:p>
      <w:pPr>
        <w:spacing w:after="400"/>
        <w:jc w:val="center"/>
      </w:pPr>
      <w:r>
        <w:rPr>
          <w:rFonts w:ascii="Arial" w:cs="Arial" w:eastAsia="Arial" w:hAnsi="Arial"/>
          <w:i/>
          <w:iCs/>
          <w:color w:val="555555"/>
          <w:sz w:val="24"/>
          <w:szCs w:val="24"/>
        </w:rPr>
        <w:t xml:space="preserve">Observability, Prometheus, Grafana &amp; Service Level Objectives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Student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Chris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Track</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Multi-Cloud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Level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Intermediate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Session Date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11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Primary Platform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 Kubernetes + Prometheus + Grafana</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Builds 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10 — GitOps &amp; ArgoCD</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1. Executive Summary</w:t>
      </w:r>
    </w:p>
    <w:p>
      <w:pPr>
        <w:spacing w:after="120"/>
      </w:pPr>
      <w:r>
        <w:rPr>
          <w:rFonts w:ascii="Arial" w:cs="Arial" w:eastAsia="Arial" w:hAnsi="Arial"/>
          <w:sz w:val="20"/>
          <w:szCs w:val="20"/>
        </w:rPr>
        <w:t xml:space="preserve">Session 11 introduced observability — the discipline of understanding what is happening inside a running system. The session covered the Three Pillars of Observability (Metrics, Logs, Traces), the Prometheus and Grafana monitoring stack for Kubernetes, alert design principles including alert fatigue and alarm blindness, the RED method for request-driven service monitoring, and Service Level Objectives as a framework for data-driven reliability decisions.</w:t>
      </w:r>
    </w:p>
    <w:p>
      <w:pPr>
        <w:spacing w:after="120"/>
      </w:pPr>
      <w:r>
        <w:rPr>
          <w:rFonts w:ascii="Arial" w:cs="Arial" w:eastAsia="Arial" w:hAnsi="Arial"/>
          <w:sz w:val="20"/>
          <w:szCs w:val="20"/>
        </w:rPr>
        <w:t xml:space="preserve">Three configuration files were authored: a Helm values file configuring the kube-prometheus-stack with persistent EBS storage and MS Teams alerting via webhook, a PrometheusRule defining critical and warning alert rules for error rate and latency, and a Grafana dashboard JSON implementing the four RED method panels. These files complete the observability layer of the production-pattern stack.</w:t>
      </w:r>
    </w:p>
    <w:p>
      <w:pPr>
        <w:spacing w:after="120"/>
      </w:pPr>
      <w:r>
        <w:t xml:space="preserve"/>
      </w:r>
    </w:p>
    <w:p>
      <w:pPr>
        <w:pStyle w:val="Heading1"/>
      </w:pPr>
      <w:r>
        <w:rPr>
          <w:rFonts w:ascii="Arial" w:cs="Arial" w:eastAsia="Arial" w:hAnsi="Arial"/>
          <w:b/>
          <w:bCs/>
          <w:color w:val="1F3864"/>
          <w:sz w:val="32"/>
          <w:szCs w:val="32"/>
        </w:rPr>
        <w:t xml:space="preserve">2. Session 10 Recall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Student Response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new engineer asks why you use ArgoCD when you already have GitHub Actions. What does each own and why are they complementary?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Actions pushes pipeline code. ArgoCD continuously polls and monitors Git against the cluster.</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Push-based pipeline vs continuous Git monitoring correctly distinguished.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selfHeal: true is enabled. On-call engineer runs kubectl scale --replicas=10 at 3am. What happens and what should they have done?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ArgoCD detects drift and reverts replicas to desired state. Engineer should have updated replicas in Git — Git is the source of truth.</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Drift detection, automatic revert, and Git-first discipline all correctly described.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selector is app: my-app. New pod deployed with label app: my-app-v2. Does traffic route to 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label is different. Label selectors require exact match. Better than IP addressing because pods are ephemeral.</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Exact match requirement and pod ephemerality rationale both identified.</w:t>
            </w:r>
          </w:p>
        </w:tc>
      </w:tr>
    </w:tbl>
    <w:p>
      <w:pPr>
        <w:spacing w:after="120"/>
      </w:pPr>
      <w:r>
        <w:t xml:space="preserve"/>
      </w:r>
    </w:p>
    <w:p>
      <w:pPr>
        <w:pStyle w:val="Heading1"/>
      </w:pPr>
      <w:r>
        <w:rPr>
          <w:rFonts w:ascii="Arial" w:cs="Arial" w:eastAsia="Arial" w:hAnsi="Arial"/>
          <w:b/>
          <w:bCs/>
          <w:color w:val="1F3864"/>
          <w:sz w:val="32"/>
          <w:szCs w:val="32"/>
        </w:rPr>
        <w:t xml:space="preserve">3. Session 11 Learning Objectives</w:t>
      </w:r>
    </w:p>
    <w:p>
      <w:pPr>
        <w:pStyle w:val="ListParagraph"/>
        <w:numPr>
          <w:ilvl w:val="0"/>
          <w:numId w:val="2"/>
        </w:numPr>
        <w:spacing w:after="80"/>
      </w:pPr>
      <w:r>
        <w:rPr>
          <w:rFonts w:ascii="Arial" w:cs="Arial" w:eastAsia="Arial" w:hAnsi="Arial"/>
          <w:sz w:val="20"/>
          <w:szCs w:val="20"/>
        </w:rPr>
        <w:t xml:space="preserve">Understand the Three Pillars of Observability: Metrics, Logs, and Traces</w:t>
      </w:r>
    </w:p>
    <w:p>
      <w:pPr>
        <w:pStyle w:val="ListParagraph"/>
        <w:numPr>
          <w:ilvl w:val="0"/>
          <w:numId w:val="2"/>
        </w:numPr>
        <w:spacing w:after="80"/>
      </w:pPr>
      <w:r>
        <w:rPr>
          <w:rFonts w:ascii="Arial" w:cs="Arial" w:eastAsia="Arial" w:hAnsi="Arial"/>
          <w:sz w:val="20"/>
          <w:szCs w:val="20"/>
        </w:rPr>
        <w:t xml:space="preserve">Understand what each pillar answers: what happened, how is the system behaving, where did the time go</w:t>
      </w:r>
    </w:p>
    <w:p>
      <w:pPr>
        <w:pStyle w:val="ListParagraph"/>
        <w:numPr>
          <w:ilvl w:val="0"/>
          <w:numId w:val="2"/>
        </w:numPr>
        <w:spacing w:after="80"/>
      </w:pPr>
      <w:r>
        <w:rPr>
          <w:rFonts w:ascii="Arial" w:cs="Arial" w:eastAsia="Arial" w:hAnsi="Arial"/>
          <w:sz w:val="20"/>
          <w:szCs w:val="20"/>
        </w:rPr>
        <w:t xml:space="preserve">Understand why distributed traces are the correct tool for diagnosing response time slowness</w:t>
      </w:r>
    </w:p>
    <w:p>
      <w:pPr>
        <w:pStyle w:val="ListParagraph"/>
        <w:numPr>
          <w:ilvl w:val="0"/>
          <w:numId w:val="2"/>
        </w:numPr>
        <w:spacing w:after="80"/>
      </w:pPr>
      <w:r>
        <w:rPr>
          <w:rFonts w:ascii="Arial" w:cs="Arial" w:eastAsia="Arial" w:hAnsi="Arial"/>
          <w:sz w:val="20"/>
          <w:szCs w:val="20"/>
        </w:rPr>
        <w:t xml:space="preserve">Understand the Prometheus scrape model and DaemonSet-based collection</w:t>
      </w:r>
    </w:p>
    <w:p>
      <w:pPr>
        <w:pStyle w:val="ListParagraph"/>
        <w:numPr>
          <w:ilvl w:val="0"/>
          <w:numId w:val="2"/>
        </w:numPr>
        <w:spacing w:after="80"/>
      </w:pPr>
      <w:r>
        <w:rPr>
          <w:rFonts w:ascii="Arial" w:cs="Arial" w:eastAsia="Arial" w:hAnsi="Arial"/>
          <w:sz w:val="20"/>
          <w:szCs w:val="20"/>
        </w:rPr>
        <w:t xml:space="preserve">Understand why local Prometheus storage is insufficient for production and how EBS persistent volumes solve it</w:t>
      </w:r>
    </w:p>
    <w:p>
      <w:pPr>
        <w:pStyle w:val="ListParagraph"/>
        <w:numPr>
          <w:ilvl w:val="0"/>
          <w:numId w:val="2"/>
        </w:numPr>
        <w:spacing w:after="80"/>
      </w:pPr>
      <w:r>
        <w:rPr>
          <w:rFonts w:ascii="Arial" w:cs="Arial" w:eastAsia="Arial" w:hAnsi="Arial"/>
          <w:sz w:val="20"/>
          <w:szCs w:val="20"/>
        </w:rPr>
        <w:t xml:space="preserve">Understand alert design principles — severity tiers, alert fatigue, and alarm blindness</w:t>
      </w:r>
    </w:p>
    <w:p>
      <w:pPr>
        <w:pStyle w:val="ListParagraph"/>
        <w:numPr>
          <w:ilvl w:val="0"/>
          <w:numId w:val="2"/>
        </w:numPr>
        <w:spacing w:after="80"/>
      </w:pPr>
      <w:r>
        <w:rPr>
          <w:rFonts w:ascii="Arial" w:cs="Arial" w:eastAsia="Arial" w:hAnsi="Arial"/>
          <w:sz w:val="20"/>
          <w:szCs w:val="20"/>
        </w:rPr>
        <w:t xml:space="preserve">Understand the RED method: Rate, Errors, Duration as the standard for request-driven services</w:t>
      </w:r>
    </w:p>
    <w:p>
      <w:pPr>
        <w:pStyle w:val="ListParagraph"/>
        <w:numPr>
          <w:ilvl w:val="0"/>
          <w:numId w:val="2"/>
        </w:numPr>
        <w:spacing w:after="80"/>
      </w:pPr>
      <w:r>
        <w:rPr>
          <w:rFonts w:ascii="Arial" w:cs="Arial" w:eastAsia="Arial" w:hAnsi="Arial"/>
          <w:sz w:val="20"/>
          <w:szCs w:val="20"/>
        </w:rPr>
        <w:t xml:space="preserve">Understand percentile metrics (p50, p95, p99) and why average response time is a misleading metric</w:t>
      </w:r>
    </w:p>
    <w:p>
      <w:pPr>
        <w:pStyle w:val="ListParagraph"/>
        <w:numPr>
          <w:ilvl w:val="0"/>
          <w:numId w:val="2"/>
        </w:numPr>
        <w:spacing w:after="80"/>
      </w:pPr>
      <w:r>
        <w:rPr>
          <w:rFonts w:ascii="Arial" w:cs="Arial" w:eastAsia="Arial" w:hAnsi="Arial"/>
          <w:sz w:val="20"/>
          <w:szCs w:val="20"/>
        </w:rPr>
        <w:t xml:space="preserve">Understand Service Level Objectives and error budgets as a framework for reliability decisions</w:t>
      </w:r>
    </w:p>
    <w:p>
      <w:pPr>
        <w:pStyle w:val="ListParagraph"/>
        <w:numPr>
          <w:ilvl w:val="0"/>
          <w:numId w:val="2"/>
        </w:numPr>
        <w:spacing w:after="80"/>
      </w:pPr>
      <w:r>
        <w:rPr>
          <w:rFonts w:ascii="Arial" w:cs="Arial" w:eastAsia="Arial" w:hAnsi="Arial"/>
          <w:sz w:val="20"/>
          <w:szCs w:val="20"/>
        </w:rPr>
        <w:t xml:space="preserve">Author Helm values for kube-prometheus-stack with persistent storage and MS Teams alerting</w:t>
      </w:r>
    </w:p>
    <w:p>
      <w:pPr>
        <w:pStyle w:val="ListParagraph"/>
        <w:numPr>
          <w:ilvl w:val="0"/>
          <w:numId w:val="2"/>
        </w:numPr>
        <w:spacing w:after="80"/>
      </w:pPr>
      <w:r>
        <w:rPr>
          <w:rFonts w:ascii="Arial" w:cs="Arial" w:eastAsia="Arial" w:hAnsi="Arial"/>
          <w:sz w:val="20"/>
          <w:szCs w:val="20"/>
        </w:rPr>
        <w:t xml:space="preserve">Author PrometheusRule with two alert rules at different severity levels</w:t>
      </w:r>
    </w:p>
    <w:p>
      <w:pPr>
        <w:pStyle w:val="ListParagraph"/>
        <w:numPr>
          <w:ilvl w:val="0"/>
          <w:numId w:val="2"/>
        </w:numPr>
        <w:spacing w:after="80"/>
      </w:pPr>
      <w:r>
        <w:rPr>
          <w:rFonts w:ascii="Arial" w:cs="Arial" w:eastAsia="Arial" w:hAnsi="Arial"/>
          <w:sz w:val="20"/>
          <w:szCs w:val="20"/>
        </w:rPr>
        <w:t xml:space="preserve">Author a Grafana dashboard JSON implementing the four RED method panels</w:t>
      </w:r>
    </w:p>
    <w:p>
      <w:pPr>
        <w:spacing w:after="120"/>
      </w:pPr>
      <w:r>
        <w:t xml:space="preserve"/>
      </w:r>
    </w:p>
    <w:p>
      <w:r>
        <w:br w:type="page"/>
      </w:r>
    </w:p>
    <w:p>
      <w:pPr>
        <w:pStyle w:val="Heading1"/>
      </w:pPr>
      <w:r>
        <w:rPr>
          <w:rFonts w:ascii="Arial" w:cs="Arial" w:eastAsia="Arial" w:hAnsi="Arial"/>
          <w:b/>
          <w:bCs/>
          <w:color w:val="1F3864"/>
          <w:sz w:val="32"/>
          <w:szCs w:val="32"/>
        </w:rPr>
        <w:t xml:space="preserve">4. Concepts Covered</w:t>
      </w:r>
    </w:p>
    <w:p>
      <w:pPr>
        <w:pStyle w:val="Heading2"/>
      </w:pPr>
      <w:r>
        <w:rPr>
          <w:rFonts w:ascii="Arial" w:cs="Arial" w:eastAsia="Arial" w:hAnsi="Arial"/>
          <w:b/>
          <w:bCs/>
          <w:color w:val="2E75B6"/>
          <w:sz w:val="26"/>
          <w:szCs w:val="26"/>
        </w:rPr>
        <w:t xml:space="preserve">4.1 The Three Pillars of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 Answered</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Metrics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is the system behaving over time?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CPU: 87%, Response time: 2400ms, Error rate: 3.2%</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happened?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1234 requested /api/orders at 14:32:01, returned 500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Traces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did the time go?</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Request: 2ms API → 1800ms database → 600ms cache</w:t>
            </w:r>
          </w:p>
        </w:tc>
      </w:tr>
    </w:tbl>
    <w:p>
      <w:pPr>
        <w:spacing w:after="120"/>
      </w:pPr>
      <w:r>
        <w:t xml:space="preserve"/>
      </w:r>
    </w:p>
    <w:p>
      <w:pPr>
        <w:spacing w:after="120"/>
      </w:pPr>
      <w:r>
        <w:rPr>
          <w:rFonts w:ascii="Arial" w:cs="Arial" w:eastAsia="Arial" w:hAnsi="Arial"/>
          <w:sz w:val="20"/>
          <w:szCs w:val="20"/>
        </w:rPr>
        <w:t xml:space="preserve">For diagnosing response time slowness specifically, Traces provide the most direct answer. Metrics show that something is slow but cannot identify which component is responsible. A trace follows a single request across all services and shows exactly where time was spent.</w:t>
      </w:r>
    </w:p>
    <w:p>
      <w:pPr>
        <w:spacing w:after="120"/>
      </w:pPr>
      <w:r>
        <w:t xml:space="preserve"/>
      </w:r>
    </w:p>
    <w:p>
      <w:pPr>
        <w:pStyle w:val="Heading2"/>
      </w:pPr>
      <w:r>
        <w:rPr>
          <w:rFonts w:ascii="Arial" w:cs="Arial" w:eastAsia="Arial" w:hAnsi="Arial"/>
          <w:b/>
          <w:bCs/>
          <w:color w:val="2E75B6"/>
          <w:sz w:val="26"/>
          <w:szCs w:val="26"/>
        </w:rPr>
        <w:t xml:space="preserve">4.2 Prometheus Architecture</w:t>
      </w:r>
    </w:p>
    <w:p>
      <w:pPr>
        <w:spacing w:after="120"/>
      </w:pPr>
      <w:r>
        <w:rPr>
          <w:rFonts w:ascii="Arial" w:cs="Arial" w:eastAsia="Arial" w:hAnsi="Arial"/>
          <w:sz w:val="20"/>
          <w:szCs w:val="20"/>
        </w:rPr>
        <w:t xml:space="preserve">Prometheus uses a scrape model — it pulls metrics from pods at regular intervals rather than waiting for pods to push data. This requires pods to expose a /metrics endpoint.</w:t>
      </w:r>
    </w:p>
    <w:p>
      <w:pPr>
        <w:spacing w:after="40"/>
        <w:ind w:left="360"/>
      </w:pPr>
      <w:r>
        <w:rPr>
          <w:rFonts w:ascii="Courier New" w:cs="Courier New" w:eastAsia="Courier New" w:hAnsi="Courier New"/>
          <w:color w:val="2E75B6"/>
          <w:sz w:val="18"/>
          <w:szCs w:val="18"/>
        </w:rPr>
        <w:t xml:space="preserve">Prometheus Server (Deployment)</w:t>
      </w:r>
    </w:p>
    <w:p>
      <w:pPr>
        <w:spacing w:after="40"/>
        <w:ind w:left="360"/>
      </w:pPr>
      <w:r>
        <w:rPr>
          <w:rFonts w:ascii="Courier New" w:cs="Courier New" w:eastAsia="Courier New" w:hAnsi="Courier New"/>
          <w:color w:val="2E75B6"/>
          <w:sz w:val="18"/>
          <w:szCs w:val="18"/>
        </w:rPr>
        <w:t xml:space="preserve">    ├── Node Exporter (DaemonSet)        ← node-level CPU, memory, disk</w:t>
      </w:r>
    </w:p>
    <w:p>
      <w:pPr>
        <w:spacing w:after="40"/>
        <w:ind w:left="360"/>
      </w:pPr>
      <w:r>
        <w:rPr>
          <w:rFonts w:ascii="Courier New" w:cs="Courier New" w:eastAsia="Courier New" w:hAnsi="Courier New"/>
          <w:color w:val="2E75B6"/>
          <w:sz w:val="18"/>
          <w:szCs w:val="18"/>
        </w:rPr>
        <w:t xml:space="preserve">    ├── kube-state-metrics (Deployment)  ← Kubernetes object metrics</w:t>
      </w:r>
    </w:p>
    <w:p>
      <w:pPr>
        <w:spacing w:after="40"/>
        <w:ind w:left="360"/>
      </w:pPr>
      <w:r>
        <w:rPr>
          <w:rFonts w:ascii="Courier New" w:cs="Courier New" w:eastAsia="Courier New" w:hAnsi="Courier New"/>
          <w:color w:val="2E75B6"/>
          <w:sz w:val="18"/>
          <w:szCs w:val="18"/>
        </w:rPr>
        <w:t xml:space="preserve">    └── Application pods                 ← application metrics at /metrics</w:t>
      </w:r>
    </w:p>
    <w:p>
      <w:pPr>
        <w:spacing w:after="120"/>
      </w:pPr>
      <w:r>
        <w:t xml:space="preserve"/>
      </w:r>
    </w:p>
    <w:p>
      <w:pPr>
        <w:spacing w:after="120"/>
      </w:pPr>
      <w:r>
        <w:rPr>
          <w:rFonts w:ascii="Arial" w:cs="Arial" w:eastAsia="Arial" w:hAnsi="Arial"/>
          <w:sz w:val="20"/>
          <w:szCs w:val="20"/>
        </w:rPr>
        <w:t xml:space="preserve">Node Exporter runs as a DaemonSet — one pod per node, automatically including new nodes as they join. This is why Fargate cannot be used for the observability stack: Fargate has no persistent nodes for DaemonSets to attach to.</w:t>
      </w:r>
    </w:p>
    <w:p>
      <w:pPr>
        <w:spacing w:after="120"/>
      </w:pPr>
      <w:r>
        <w:t xml:space="preserve"/>
      </w:r>
    </w:p>
    <w:p>
      <w:pPr>
        <w:pStyle w:val="Heading2"/>
      </w:pPr>
      <w:r>
        <w:rPr>
          <w:rFonts w:ascii="Arial" w:cs="Arial" w:eastAsia="Arial" w:hAnsi="Arial"/>
          <w:b/>
          <w:bCs/>
          <w:color w:val="2E75B6"/>
          <w:sz w:val="26"/>
          <w:szCs w:val="26"/>
        </w:rPr>
        <w:t xml:space="preserve">4.3 Persistent Storage for Prometheus</w:t>
      </w:r>
    </w:p>
    <w:p>
      <w:pPr>
        <w:spacing w:after="120"/>
      </w:pPr>
      <w:r>
        <w:rPr>
          <w:rFonts w:ascii="Arial" w:cs="Arial" w:eastAsia="Arial" w:hAnsi="Arial"/>
          <w:sz w:val="20"/>
          <w:szCs w:val="20"/>
        </w:rPr>
        <w:t xml:space="preserve">Prometheus stores metrics locally by default. When a pod restarts, all historical data is lost — making incident post-analysis impossible and trend-based alerting unreliable.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Development Setup</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Production Setup</w:t>
            </w:r>
          </w:p>
        </w:tc>
      </w:tr>
      <w:tr>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storage inside pod</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Amazon EBS persistent volume (gp2)</w:t>
            </w:r>
          </w:p>
        </w:tc>
      </w:tr>
      <w:tr>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lost on pod restart</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survives pod restarts</w:t>
            </w:r>
          </w:p>
        </w:tc>
      </w:tr>
      <w:tr>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No incident analysis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15-day retention configured</w:t>
            </w:r>
          </w:p>
        </w:tc>
      </w:tr>
    </w:tbl>
    <w:p>
      <w:pPr>
        <w:spacing w:after="120"/>
      </w:pPr>
      <w:r>
        <w:t xml:space="preserve"/>
      </w:r>
    </w:p>
    <w:p>
      <w:pPr>
        <w:pStyle w:val="Heading2"/>
      </w:pPr>
      <w:r>
        <w:rPr>
          <w:rFonts w:ascii="Arial" w:cs="Arial" w:eastAsia="Arial" w:hAnsi="Arial"/>
          <w:b/>
          <w:bCs/>
          <w:color w:val="2E75B6"/>
          <w:sz w:val="26"/>
          <w:szCs w:val="26"/>
        </w:rPr>
        <w:t xml:space="preserve">4.4 Namespace Isolation for Platform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Namespace</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Owned By</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Contains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kube-system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 Kubernetes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Kubernetes components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argocd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 team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ArgoCD components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 team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Prometheus, Grafana, Alertmanager, Node Exporter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my-app</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team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pods and services</w:t>
            </w:r>
          </w:p>
        </w:tc>
      </w:tr>
    </w:tbl>
    <w:p>
      <w:pPr>
        <w:spacing w:after="120"/>
      </w:pPr>
      <w:r>
        <w:t xml:space="preserve"/>
      </w:r>
    </w:p>
    <w:p>
      <w:pPr>
        <w:spacing w:after="120"/>
      </w:pPr>
      <w:r>
        <w:rPr>
          <w:rFonts w:ascii="Arial" w:cs="Arial" w:eastAsia="Arial" w:hAnsi="Arial"/>
          <w:sz w:val="20"/>
          <w:szCs w:val="20"/>
        </w:rPr>
        <w:t xml:space="preserve">Platform services must be isolated from application namespaces. If the application is broken, monitoring must continue to function. A shared namespace creates a single point of failure and prevents independent lifecycle management and access control.</w:t>
      </w:r>
    </w:p>
    <w:p>
      <w:pPr>
        <w:spacing w:after="120"/>
      </w:pPr>
      <w:r>
        <w:t xml:space="preserve"/>
      </w:r>
    </w:p>
    <w:p>
      <w:pPr>
        <w:pStyle w:val="Heading2"/>
      </w:pPr>
      <w:r>
        <w:rPr>
          <w:rFonts w:ascii="Arial" w:cs="Arial" w:eastAsia="Arial" w:hAnsi="Arial"/>
          <w:b/>
          <w:bCs/>
          <w:color w:val="2E75B6"/>
          <w:sz w:val="26"/>
          <w:szCs w:val="26"/>
        </w:rPr>
        <w:t xml:space="preserve">4.5 Alert Design Principles</w:t>
      </w:r>
    </w:p>
    <w:p>
      <w:pPr>
        <w:spacing w:after="120"/>
      </w:pPr>
      <w:r>
        <w:rPr>
          <w:rFonts w:ascii="Arial" w:cs="Arial" w:eastAsia="Arial" w:hAnsi="Arial"/>
          <w:sz w:val="20"/>
          <w:szCs w:val="20"/>
        </w:rPr>
        <w:t xml:space="preserve">Every alert that fires should require action. If an alert fires and no action is needed, the alert should be deleted or its threshold raised.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Routing</w:t>
            </w:r>
          </w:p>
        </w:tc>
      </w:tr>
      <w:tr>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Wake someone up immediately — error rate &gt; 5% for 2 minutes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MS Teams + PagerDuty → on-call engineer's phone</w:t>
            </w:r>
          </w:p>
        </w:tc>
      </w:tr>
      <w:tr>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Investigate during business hours — p99 latency &gt; 1s for 5 minutes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MS Teams channel notification only</w:t>
            </w:r>
          </w:p>
        </w:tc>
      </w:tr>
      <w:tr>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Awareness only — deployment completed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priority channel, no action required</w:t>
            </w:r>
          </w:p>
        </w:tc>
      </w:tr>
    </w:tbl>
    <w:p>
      <w:pPr>
        <w:spacing w:after="120"/>
      </w:pPr>
      <w:r>
        <w:t xml:space="preserve"/>
      </w:r>
    </w:p>
    <w:p>
      <w:pPr>
        <w:spacing w:after="120"/>
      </w:pPr>
      <w:r>
        <w:rPr>
          <w:rFonts w:ascii="Arial" w:cs="Arial" w:eastAsia="Arial" w:hAnsi="Arial"/>
          <w:sz w:val="20"/>
          <w:szCs w:val="20"/>
        </w:rPr>
        <w:t xml:space="preserve">Alert fatigue occurs when too many low-signal alerts fire. Engineers progressively begin ignoring alerts, eventually leading to alarm blindness — where a real critical alert is dismissed as noise. A production outage can go undetected for hours as a result.</w:t>
      </w:r>
    </w:p>
    <w:p>
      <w:pPr>
        <w:spacing w:after="120"/>
      </w:pPr>
      <w:r>
        <w:t xml:space="preserve"/>
      </w:r>
    </w:p>
    <w:p>
      <w:pPr>
        <w:pStyle w:val="Heading2"/>
      </w:pPr>
      <w:r>
        <w:rPr>
          <w:rFonts w:ascii="Arial" w:cs="Arial" w:eastAsia="Arial" w:hAnsi="Arial"/>
          <w:b/>
          <w:bCs/>
          <w:color w:val="2E75B6"/>
          <w:sz w:val="26"/>
          <w:szCs w:val="26"/>
        </w:rPr>
        <w:t xml:space="preserve">4.6 The RED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Letter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Prometheus Expression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 —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Requests per second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rate(http_requests_total[5m])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 — Errors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Percentage of failed requests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rate(http_requests_total{status=~"5.."}[5m]) / rate(http_requests_total[5m])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 — Duration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Response time percentiles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histogram_quantile(0.99, rate(http_request_duration_seconds_bucket[5m]))</w:t>
            </w:r>
          </w:p>
        </w:tc>
      </w:tr>
    </w:tbl>
    <w:p>
      <w:pPr>
        <w:spacing w:after="120"/>
      </w:pPr>
      <w:r>
        <w:t xml:space="preserve"/>
      </w:r>
    </w:p>
    <w:p>
      <w:pPr>
        <w:pStyle w:val="Heading2"/>
      </w:pPr>
      <w:r>
        <w:rPr>
          <w:rFonts w:ascii="Arial" w:cs="Arial" w:eastAsia="Arial" w:hAnsi="Arial"/>
          <w:b/>
          <w:bCs/>
          <w:color w:val="2E75B6"/>
          <w:sz w:val="26"/>
          <w:szCs w:val="26"/>
        </w:rPr>
        <w:t xml:space="preserve">4.7 Percentile Metrics vs Average</w:t>
      </w:r>
    </w:p>
    <w:p>
      <w:pPr>
        <w:spacing w:after="120"/>
      </w:pPr>
      <w:r>
        <w:rPr>
          <w:rFonts w:ascii="Arial" w:cs="Arial" w:eastAsia="Arial" w:hAnsi="Arial"/>
          <w:sz w:val="20"/>
          <w:szCs w:val="20"/>
        </w:rPr>
        <w:t xml:space="preserve">Average response time hides the experience of slow users. Consider 1000 requests where 990 complete in 200ms and 10 complete in 8000ms:</w:t>
      </w:r>
    </w:p>
    <w:p>
      <w:pPr>
        <w:spacing w:after="40"/>
        <w:ind w:left="360"/>
      </w:pPr>
      <w:r>
        <w:rPr>
          <w:rFonts w:ascii="Courier New" w:cs="Courier New" w:eastAsia="Courier New" w:hAnsi="Courier New"/>
          <w:color w:val="2E75B6"/>
          <w:sz w:val="18"/>
          <w:szCs w:val="18"/>
        </w:rPr>
        <w:t xml:space="preserve">Average: ((990 × 200) + (10 × 8000)) / 1000 = 278ms  ← looks healthy</w:t>
      </w:r>
    </w:p>
    <w:p>
      <w:pPr>
        <w:spacing w:after="40"/>
        <w:ind w:left="360"/>
      </w:pPr>
      <w:r>
        <w:rPr>
          <w:rFonts w:ascii="Courier New" w:cs="Courier New" w:eastAsia="Courier New" w:hAnsi="Courier New"/>
          <w:color w:val="2E75B6"/>
          <w:sz w:val="18"/>
          <w:szCs w:val="18"/>
        </w:rPr>
        <w:t xml:space="preserve">p99:     8000ms                                        ← 1 in 100 users waits 8 seconds</w:t>
      </w:r>
    </w:p>
    <w:p>
      <w:pPr>
        <w:spacing w:after="120"/>
      </w:pPr>
      <w:r>
        <w:t xml:space="preserve"/>
      </w:r>
    </w:p>
    <w:p>
      <w:pPr>
        <w:spacing w:after="120"/>
      </w:pPr>
      <w:r>
        <w:rPr>
          <w:rFonts w:ascii="Arial" w:cs="Arial" w:eastAsia="Arial" w:hAnsi="Arial"/>
          <w:sz w:val="20"/>
          <w:szCs w:val="20"/>
        </w:rPr>
        <w:t xml:space="preserve">In a system handling 10,000 requests per minute, p99 of 8000ms means 100 users per minute experiencing 8-second waits. Average response time would show 278ms and nothing would appear wrong. Percentile metrics measure real user experience at the tail of the distribution.</w:t>
      </w:r>
    </w:p>
    <w:p>
      <w:pPr>
        <w:spacing w:after="120"/>
      </w:pPr>
      <w:r>
        <w:t xml:space="preserve"/>
      </w:r>
    </w:p>
    <w:p>
      <w:pPr>
        <w:pStyle w:val="Heading2"/>
      </w:pPr>
      <w:r>
        <w:rPr>
          <w:rFonts w:ascii="Arial" w:cs="Arial" w:eastAsia="Arial" w:hAnsi="Arial"/>
          <w:b/>
          <w:bCs/>
          <w:color w:val="2E75B6"/>
          <w:sz w:val="26"/>
          <w:szCs w:val="26"/>
        </w:rPr>
        <w:t xml:space="preserve">4.8 Service Level Objectives and Error Budgets</w:t>
      </w:r>
    </w:p>
    <w:p>
      <w:pPr>
        <w:spacing w:after="120"/>
      </w:pPr>
      <w:r>
        <w:rPr>
          <w:rFonts w:ascii="Arial" w:cs="Arial" w:eastAsia="Arial" w:hAnsi="Arial"/>
          <w:sz w:val="20"/>
          <w:szCs w:val="20"/>
        </w:rPr>
        <w:t xml:space="preserve">An SLO is a formal commitment about system behaviour connecting technical metrics to business impact. The error budget is the allowed amount of unreliability within the SLO window.</w:t>
      </w:r>
    </w:p>
    <w:p>
      <w:pPr>
        <w:spacing w:after="40"/>
        <w:ind w:left="360"/>
      </w:pPr>
      <w:r>
        <w:rPr>
          <w:rFonts w:ascii="Courier New" w:cs="Courier New" w:eastAsia="Courier New" w:hAnsi="Courier New"/>
          <w:color w:val="2E75B6"/>
          <w:sz w:val="18"/>
          <w:szCs w:val="18"/>
        </w:rPr>
        <w:t xml:space="preserve">SLO: 99.9% availability over 30 days</w:t>
      </w:r>
    </w:p>
    <w:p>
      <w:pPr>
        <w:spacing w:after="40"/>
        <w:ind w:left="360"/>
      </w:pPr>
      <w:r>
        <w:rPr>
          <w:rFonts w:ascii="Courier New" w:cs="Courier New" w:eastAsia="Courier New" w:hAnsi="Courier New"/>
          <w:color w:val="2E75B6"/>
          <w:sz w:val="18"/>
          <w:szCs w:val="18"/>
        </w:rPr>
        <w:t xml:space="preserve">Error budget = 0.1% of 30 days = 43.2 minutes of allowed downtime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 Budget Remaining</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 Action</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&gt; 50%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Move fast — deploy freely, take risks, run experiments</w:t>
            </w:r>
          </w:p>
        </w:tc>
      </w:tr>
      <w:tr>
        <w:tc>
          <w:tcPr>
            <w:tcW w:type="dxa" w:w="31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Slow down — no risky deployments, focus on reliability</w:t>
            </w:r>
          </w:p>
        </w:tc>
      </w:tr>
      <w:tr>
        <w:tc>
          <w:tcPr>
            <w:tcW w:type="dxa" w:w="31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Freeze deployments — all effort on reliability until budget recovers</w:t>
            </w:r>
          </w:p>
        </w:tc>
      </w:tr>
    </w:tbl>
    <w:p>
      <w:pPr>
        <w:spacing w:after="120"/>
      </w:pPr>
      <w:r>
        <w:t xml:space="preserve"/>
      </w:r>
    </w:p>
    <w:p>
      <w:pPr>
        <w:spacing w:after="120"/>
      </w:pPr>
      <w:r>
        <w:rPr>
          <w:rFonts w:ascii="Arial" w:cs="Arial" w:eastAsia="Arial" w:hAnsi="Arial"/>
          <w:sz w:val="20"/>
          <w:szCs w:val="20"/>
        </w:rPr>
        <w:t xml:space="preserve">SLOs replace subjective reliability debates with data-driven decisions. When error budget is at 5% remaining, a large feature deployment that risks 10 minutes of downtime exceeds the available budget — the decision to delay is objective, not opinion-based.</w:t>
      </w:r>
    </w:p>
    <w:p>
      <w:pPr>
        <w:spacing w:after="120"/>
      </w:pPr>
      <w:r>
        <w:t xml:space="preserve"/>
      </w:r>
    </w:p>
    <w:p>
      <w:r>
        <w:br w:type="page"/>
      </w:r>
    </w:p>
    <w:p>
      <w:pPr>
        <w:pStyle w:val="Heading1"/>
      </w:pPr>
      <w:r>
        <w:rPr>
          <w:rFonts w:ascii="Arial" w:cs="Arial" w:eastAsia="Arial" w:hAnsi="Arial"/>
          <w:b/>
          <w:bCs/>
          <w:color w:val="1F3864"/>
          <w:sz w:val="32"/>
          <w:szCs w:val="32"/>
        </w:rPr>
        <w:t xml:space="preserve">5. Files Authored in Session 11</w:t>
      </w:r>
    </w:p>
    <w:p>
      <w:pPr>
        <w:pStyle w:val="Heading2"/>
      </w:pPr>
      <w:r>
        <w:rPr>
          <w:rFonts w:ascii="Arial" w:cs="Arial" w:eastAsia="Arial" w:hAnsi="Arial"/>
          <w:b/>
          <w:bCs/>
          <w:color w:val="2E75B6"/>
          <w:sz w:val="26"/>
          <w:szCs w:val="26"/>
        </w:rPr>
        <w:t xml:space="preserve">5.1 monitoring/values.yaml</w:t>
      </w:r>
    </w:p>
    <w:p>
      <w:pPr>
        <w:spacing w:after="120"/>
      </w:pPr>
      <w:r>
        <w:rPr>
          <w:rFonts w:ascii="Arial" w:cs="Arial" w:eastAsia="Arial" w:hAnsi="Arial"/>
          <w:sz w:val="20"/>
          <w:szCs w:val="20"/>
        </w:rPr>
        <w:t xml:space="preserve">Helm values file configuring the kube-prometheus-stack installation in the monitoring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Prometheus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15-day metric retention. EBS gp2 persistent volume with 10Gi storage claim — survives pod restarts.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Grafana</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password configured. EBS gp2 persistent volume with 5Gi storage for dashboard persistence.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Alertmanager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5-minute resolve timeout. Routes all alerts to msteams receiver via webhook_configs pointing to prometheus-msteams proxy at http://prometheus-msteams:2000/alertmanager.</w:t>
            </w:r>
          </w:p>
        </w:tc>
      </w:tr>
    </w:tbl>
    <w:p>
      <w:pPr>
        <w:spacing w:after="120"/>
      </w:pPr>
      <w:r>
        <w:t xml:space="preserve"/>
      </w:r>
    </w:p>
    <w:p>
      <w:pPr>
        <w:spacing w:after="120"/>
      </w:pPr>
      <w:r>
        <w:rPr>
          <w:rFonts w:ascii="Arial" w:cs="Arial" w:eastAsia="Arial" w:hAnsi="Arial"/>
          <w:sz w:val="20"/>
          <w:szCs w:val="20"/>
        </w:rPr>
        <w:t xml:space="preserve">Note: Alertmanager does not natively support MS Teams. The prometheus-msteams proxy service translates Alertmanager payloads into MS Teams message format. It is deployed separately via its own Helm chart pointing to the MS Teams incoming webhook URL.</w:t>
      </w:r>
    </w:p>
    <w:p>
      <w:pPr>
        <w:spacing w:after="120"/>
      </w:pPr>
      <w:r>
        <w:t xml:space="preserve"/>
      </w:r>
    </w:p>
    <w:p>
      <w:pPr>
        <w:pStyle w:val="Heading2"/>
      </w:pPr>
      <w:r>
        <w:rPr>
          <w:rFonts w:ascii="Arial" w:cs="Arial" w:eastAsia="Arial" w:hAnsi="Arial"/>
          <w:b/>
          <w:bCs/>
          <w:color w:val="2E75B6"/>
          <w:sz w:val="26"/>
          <w:szCs w:val="26"/>
        </w:rPr>
        <w:t xml:space="preserve">5.2 monitoring/alerts/app-alerts.yaml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Alert</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Expression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HighErrorRate</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rate(http_requests_total{status=~"5.."}[5m]) / rate(http_requests_total[5m]) &gt; 0.05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HighLatency</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histogram_quantile(0.99, rate(http_request_duration_seconds_bucket[5m])) &gt; 1</w:t>
            </w:r>
          </w:p>
        </w:tc>
      </w:tr>
    </w:tbl>
    <w:p>
      <w:pPr>
        <w:spacing w:after="120"/>
      </w:pPr>
      <w:r>
        <w:t xml:space="preserve"/>
      </w:r>
    </w:p>
    <w:p>
      <w:pPr>
        <w:pStyle w:val="Heading2"/>
      </w:pPr>
      <w:r>
        <w:rPr>
          <w:rFonts w:ascii="Arial" w:cs="Arial" w:eastAsia="Arial" w:hAnsi="Arial"/>
          <w:b/>
          <w:bCs/>
          <w:color w:val="2E75B6"/>
          <w:sz w:val="26"/>
          <w:szCs w:val="26"/>
        </w:rPr>
        <w:t xml:space="preserve">5.3 monitoring/dashboards/app-dashboard.json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RED Method</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Prometheus Expression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Request Rate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 — Rate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rate(http_requests_total[5m])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Rate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 — Errors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rate(5xx) / rate(total)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Response Time p99</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 — Duration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histogram_quantile(0.99,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Pod Health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Infrastructure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kube_pod_status_phase{namespace="my-app"}</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6. Errors Made and Corrections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Correction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monitoring/alerts/app-alerts.yaml — first submission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alert expressions combined into a single rule block. Two Prometheus expressions cannot share one expr field.</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alert must be a separate entry under rules. HighErrorRate and HighLatency are now independent rules with their own expr, for, labels, and annotations.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monitoring/alerts/app-alerts.yaml — first submission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severity: critical and for: 2m applied to both alerts. HighLatency should be warning severity with for: 5m.</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HighErrorRate: critical, 2m. HighLatency: warning, 5m. Severity tiers reflect operational urgency — latency is a warning, error rate is critical.</w:t>
            </w:r>
          </w:p>
        </w:tc>
      </w:tr>
    </w:tbl>
    <w:p>
      <w:pPr>
        <w:spacing w:after="120"/>
      </w:pPr>
      <w:r>
        <w:t xml:space="preserve"/>
      </w:r>
    </w:p>
    <w:p>
      <w:pPr>
        <w:pStyle w:val="Heading1"/>
      </w:pPr>
      <w:r>
        <w:rPr>
          <w:rFonts w:ascii="Arial" w:cs="Arial" w:eastAsia="Arial" w:hAnsi="Arial"/>
          <w:b/>
          <w:bCs/>
          <w:color w:val="1F3864"/>
          <w:sz w:val="32"/>
          <w:szCs w:val="32"/>
        </w:rPr>
        <w:t xml:space="preserve">7. Complete Programme Stack After Session 11</w:t>
      </w:r>
    </w:p>
    <w:p>
      <w:pPr>
        <w:spacing w:after="40"/>
        <w:ind w:left="360"/>
      </w:pPr>
      <w:r>
        <w:rPr>
          <w:rFonts w:ascii="Courier New" w:cs="Courier New" w:eastAsia="Courier New" w:hAnsi="Courier New"/>
          <w:color w:val="2E75B6"/>
          <w:sz w:val="18"/>
          <w:szCs w:val="18"/>
        </w:rPr>
        <w:t xml:space="preserve">terraform-workshop/</w:t>
      </w:r>
    </w:p>
    <w:p>
      <w:pPr>
        <w:spacing w:after="40"/>
        <w:ind w:left="360"/>
      </w:pPr>
      <w:r>
        <w:rPr>
          <w:rFonts w:ascii="Courier New" w:cs="Courier New" w:eastAsia="Courier New" w:hAnsi="Courier New"/>
          <w:color w:val="2E75B6"/>
          <w:sz w:val="18"/>
          <w:szCs w:val="18"/>
        </w:rPr>
        <w:t xml:space="preserve">├── .github/workflows/terraform-vpc.yml  ← CI/CD pipeline</w:t>
      </w:r>
    </w:p>
    <w:p>
      <w:pPr>
        <w:spacing w:after="40"/>
        <w:ind w:left="360"/>
      </w:pPr>
      <w:r>
        <w:rPr>
          <w:rFonts w:ascii="Courier New" w:cs="Courier New" w:eastAsia="Courier New" w:hAnsi="Courier New"/>
          <w:color w:val="2E75B6"/>
          <w:sz w:val="18"/>
          <w:szCs w:val="18"/>
        </w:rPr>
        <w:t xml:space="preserve">├── bootstrap/main.tf                     ← S3, DynamoDB, OIDC</w:t>
      </w:r>
    </w:p>
    <w:p>
      <w:pPr>
        <w:spacing w:after="40"/>
        <w:ind w:left="360"/>
      </w:pPr>
      <w:r>
        <w:rPr>
          <w:rFonts w:ascii="Courier New" w:cs="Courier New" w:eastAsia="Courier New" w:hAnsi="Courier New"/>
          <w:color w:val="2E75B6"/>
          <w:sz w:val="18"/>
          <w:szCs w:val="18"/>
        </w:rPr>
        <w:t xml:space="preserve">├── modules/</w:t>
      </w:r>
    </w:p>
    <w:p>
      <w:pPr>
        <w:spacing w:after="40"/>
        <w:ind w:left="360"/>
      </w:pPr>
      <w:r>
        <w:rPr>
          <w:rFonts w:ascii="Courier New" w:cs="Courier New" w:eastAsia="Courier New" w:hAnsi="Courier New"/>
          <w:color w:val="2E75B6"/>
          <w:sz w:val="18"/>
          <w:szCs w:val="18"/>
        </w:rPr>
        <w:t xml:space="preserve">│   ├── vpc/                              ← Sessions 1-3</w:t>
      </w:r>
    </w:p>
    <w:p>
      <w:pPr>
        <w:spacing w:after="40"/>
        <w:ind w:left="360"/>
      </w:pPr>
      <w:r>
        <w:rPr>
          <w:rFonts w:ascii="Courier New" w:cs="Courier New" w:eastAsia="Courier New" w:hAnsi="Courier New"/>
          <w:color w:val="2E75B6"/>
          <w:sz w:val="18"/>
          <w:szCs w:val="18"/>
        </w:rPr>
        <w:t xml:space="preserve">│   ├── ec2/                              ← Sessions 5-6</w:t>
      </w:r>
    </w:p>
    <w:p>
      <w:pPr>
        <w:spacing w:after="40"/>
        <w:ind w:left="360"/>
      </w:pPr>
      <w:r>
        <w:rPr>
          <w:rFonts w:ascii="Courier New" w:cs="Courier New" w:eastAsia="Courier New" w:hAnsi="Courier New"/>
          <w:color w:val="2E75B6"/>
          <w:sz w:val="18"/>
          <w:szCs w:val="18"/>
        </w:rPr>
        <w:t xml:space="preserve">│   ├── ecs/                              ← Session 8</w:t>
      </w:r>
    </w:p>
    <w:p>
      <w:pPr>
        <w:spacing w:after="40"/>
        <w:ind w:left="360"/>
      </w:pPr>
      <w:r>
        <w:rPr>
          <w:rFonts w:ascii="Courier New" w:cs="Courier New" w:eastAsia="Courier New" w:hAnsi="Courier New"/>
          <w:color w:val="2E75B6"/>
          <w:sz w:val="18"/>
          <w:szCs w:val="18"/>
        </w:rPr>
        <w:t xml:space="preserve">│   └── eks/                              ← Session 9</w:t>
      </w:r>
    </w:p>
    <w:p>
      <w:pPr>
        <w:spacing w:after="40"/>
        <w:ind w:left="360"/>
      </w:pPr>
      <w:r>
        <w:rPr>
          <w:rFonts w:ascii="Courier New" w:cs="Courier New" w:eastAsia="Courier New" w:hAnsi="Courier New"/>
          <w:color w:val="2E75B6"/>
          <w:sz w:val="18"/>
          <w:szCs w:val="18"/>
        </w:rPr>
        <w:t xml:space="preserve">├── environments/dev/</w:t>
      </w:r>
    </w:p>
    <w:p>
      <w:pPr>
        <w:spacing w:after="40"/>
        <w:ind w:left="360"/>
      </w:pPr>
      <w:r>
        <w:rPr>
          <w:rFonts w:ascii="Courier New" w:cs="Courier New" w:eastAsia="Courier New" w:hAnsi="Courier New"/>
          <w:color w:val="2E75B6"/>
          <w:sz w:val="18"/>
          <w:szCs w:val="18"/>
        </w:rPr>
        <w:t xml:space="preserve">│   ├── vpc/    ec2/    ecs/    eks/</w:t>
      </w:r>
    </w:p>
    <w:p>
      <w:pPr>
        <w:spacing w:after="40"/>
        <w:ind w:left="360"/>
      </w:pPr>
      <w:r>
        <w:rPr>
          <w:rFonts w:ascii="Courier New" w:cs="Courier New" w:eastAsia="Courier New" w:hAnsi="Courier New"/>
          <w:color w:val="2E75B6"/>
          <w:sz w:val="18"/>
          <w:szCs w:val="18"/>
        </w:rPr>
        <w:t xml:space="preserve">├── k8s/</w:t>
      </w:r>
    </w:p>
    <w:p>
      <w:pPr>
        <w:spacing w:after="40"/>
        <w:ind w:left="360"/>
      </w:pPr>
      <w:r>
        <w:rPr>
          <w:rFonts w:ascii="Courier New" w:cs="Courier New" w:eastAsia="Courier New" w:hAnsi="Courier New"/>
          <w:color w:val="2E75B6"/>
          <w:sz w:val="18"/>
          <w:szCs w:val="18"/>
        </w:rPr>
        <w:t xml:space="preserve">│   └── app.yaml                          ← Session 10</w:t>
      </w:r>
    </w:p>
    <w:p>
      <w:pPr>
        <w:spacing w:after="40"/>
        <w:ind w:left="360"/>
      </w:pPr>
      <w:r>
        <w:rPr>
          <w:rFonts w:ascii="Courier New" w:cs="Courier New" w:eastAsia="Courier New" w:hAnsi="Courier New"/>
          <w:color w:val="2E75B6"/>
          <w:sz w:val="18"/>
          <w:szCs w:val="18"/>
        </w:rPr>
        <w:t xml:space="preserve">├── argocd/</w:t>
      </w:r>
    </w:p>
    <w:p>
      <w:pPr>
        <w:spacing w:after="40"/>
        <w:ind w:left="360"/>
      </w:pPr>
      <w:r>
        <w:rPr>
          <w:rFonts w:ascii="Courier New" w:cs="Courier New" w:eastAsia="Courier New" w:hAnsi="Courier New"/>
          <w:color w:val="2E75B6"/>
          <w:sz w:val="18"/>
          <w:szCs w:val="18"/>
        </w:rPr>
        <w:t xml:space="preserve">│   └── application.yaml                  ← Session 10</w:t>
      </w:r>
    </w:p>
    <w:p>
      <w:pPr>
        <w:spacing w:after="40"/>
        <w:ind w:left="360"/>
      </w:pPr>
      <w:r>
        <w:rPr>
          <w:rFonts w:ascii="Courier New" w:cs="Courier New" w:eastAsia="Courier New" w:hAnsi="Courier New"/>
          <w:color w:val="2E75B6"/>
          <w:sz w:val="18"/>
          <w:szCs w:val="18"/>
        </w:rPr>
        <w:t xml:space="preserve">└── monitoring/                            ← Session 11 (new)</w:t>
      </w:r>
    </w:p>
    <w:p>
      <w:pPr>
        <w:spacing w:after="40"/>
        <w:ind w:left="360"/>
      </w:pPr>
      <w:r>
        <w:rPr>
          <w:rFonts w:ascii="Courier New" w:cs="Courier New" w:eastAsia="Courier New" w:hAnsi="Courier New"/>
          <w:color w:val="2E75B6"/>
          <w:sz w:val="18"/>
          <w:szCs w:val="18"/>
        </w:rPr>
        <w:t xml:space="preserve">    ├── values.yaml                        ← kube-prometheus-stack config</w:t>
      </w:r>
    </w:p>
    <w:p>
      <w:pPr>
        <w:spacing w:after="40"/>
        <w:ind w:left="360"/>
      </w:pPr>
      <w:r>
        <w:rPr>
          <w:rFonts w:ascii="Courier New" w:cs="Courier New" w:eastAsia="Courier New" w:hAnsi="Courier New"/>
          <w:color w:val="2E75B6"/>
          <w:sz w:val="18"/>
          <w:szCs w:val="18"/>
        </w:rPr>
        <w:t xml:space="preserve">    ├── alerts/</w:t>
      </w:r>
    </w:p>
    <w:p>
      <w:pPr>
        <w:spacing w:after="40"/>
        <w:ind w:left="360"/>
      </w:pPr>
      <w:r>
        <w:rPr>
          <w:rFonts w:ascii="Courier New" w:cs="Courier New" w:eastAsia="Courier New" w:hAnsi="Courier New"/>
          <w:color w:val="2E75B6"/>
          <w:sz w:val="18"/>
          <w:szCs w:val="18"/>
        </w:rPr>
        <w:t xml:space="preserve">    │   └── app-alerts.yaml                ← PrometheusRule</w:t>
      </w:r>
    </w:p>
    <w:p>
      <w:pPr>
        <w:spacing w:after="40"/>
        <w:ind w:left="360"/>
      </w:pPr>
      <w:r>
        <w:rPr>
          <w:rFonts w:ascii="Courier New" w:cs="Courier New" w:eastAsia="Courier New" w:hAnsi="Courier New"/>
          <w:color w:val="2E75B6"/>
          <w:sz w:val="18"/>
          <w:szCs w:val="18"/>
        </w:rPr>
        <w:t xml:space="preserve">    └── dashboards/</w:t>
      </w:r>
    </w:p>
    <w:p>
      <w:pPr>
        <w:spacing w:after="40"/>
        <w:ind w:left="360"/>
      </w:pPr>
      <w:r>
        <w:rPr>
          <w:rFonts w:ascii="Courier New" w:cs="Courier New" w:eastAsia="Courier New" w:hAnsi="Courier New"/>
          <w:color w:val="2E75B6"/>
          <w:sz w:val="18"/>
          <w:szCs w:val="18"/>
        </w:rPr>
        <w:t xml:space="preserve">        └── app-dashboard.json             ← Grafana RED dashboard</w:t>
      </w:r>
    </w:p>
    <w:p>
      <w:pPr>
        <w:spacing w:after="120"/>
      </w:pPr>
      <w:r>
        <w:t xml:space="preserve"/>
      </w:r>
    </w:p>
    <w:p>
      <w:pPr>
        <w:pStyle w:val="Heading1"/>
      </w:pPr>
      <w:r>
        <w:rPr>
          <w:rFonts w:ascii="Arial" w:cs="Arial" w:eastAsia="Arial" w:hAnsi="Arial"/>
          <w:b/>
          <w:bCs/>
          <w:color w:val="1F3864"/>
          <w:sz w:val="32"/>
          <w:szCs w:val="32"/>
        </w:rPr>
        <w:t xml:space="preserve">8. Key Session Takeaways</w:t>
      </w:r>
    </w:p>
    <w:p>
      <w:pPr>
        <w:pStyle w:val="ListParagraph"/>
        <w:numPr>
          <w:ilvl w:val="0"/>
          <w:numId w:val="2"/>
        </w:numPr>
        <w:spacing w:after="80"/>
      </w:pPr>
      <w:r>
        <w:rPr>
          <w:rFonts w:ascii="Arial" w:cs="Arial" w:eastAsia="Arial" w:hAnsi="Arial"/>
          <w:sz w:val="20"/>
          <w:szCs w:val="20"/>
        </w:rPr>
        <w:t xml:space="preserve">The Three Pillars of Observability are Metrics (how is the system behaving), Logs (what happened), and Traces (where did the time go). For diagnosing slowness, Traces provide the most direct answer.</w:t>
      </w:r>
    </w:p>
    <w:p>
      <w:pPr>
        <w:pStyle w:val="ListParagraph"/>
        <w:numPr>
          <w:ilvl w:val="0"/>
          <w:numId w:val="2"/>
        </w:numPr>
        <w:spacing w:after="80"/>
      </w:pPr>
      <w:r>
        <w:rPr>
          <w:rFonts w:ascii="Arial" w:cs="Arial" w:eastAsia="Arial" w:hAnsi="Arial"/>
          <w:sz w:val="20"/>
          <w:szCs w:val="20"/>
        </w:rPr>
        <w:t xml:space="preserve">Prometheus uses a scrape model — pulling metrics from pod /metrics endpoints at regular intervals. Node Exporter runs as a DaemonSet to collect node-level metrics from every node automatically.</w:t>
      </w:r>
    </w:p>
    <w:p>
      <w:pPr>
        <w:pStyle w:val="ListParagraph"/>
        <w:numPr>
          <w:ilvl w:val="0"/>
          <w:numId w:val="2"/>
        </w:numPr>
        <w:spacing w:after="80"/>
      </w:pPr>
      <w:r>
        <w:rPr>
          <w:rFonts w:ascii="Arial" w:cs="Arial" w:eastAsia="Arial" w:hAnsi="Arial"/>
          <w:sz w:val="20"/>
          <w:szCs w:val="20"/>
        </w:rPr>
        <w:t xml:space="preserve">Local Prometheus storage is lost when the pod restarts. Production observability requires EBS persistent volumes or Amazon Managed Service for Prometheus to survive pod restarts and maintain historical data.</w:t>
      </w:r>
    </w:p>
    <w:p>
      <w:pPr>
        <w:pStyle w:val="ListParagraph"/>
        <w:numPr>
          <w:ilvl w:val="0"/>
          <w:numId w:val="2"/>
        </w:numPr>
        <w:spacing w:after="80"/>
      </w:pPr>
      <w:r>
        <w:rPr>
          <w:rFonts w:ascii="Arial" w:cs="Arial" w:eastAsia="Arial" w:hAnsi="Arial"/>
          <w:sz w:val="20"/>
          <w:szCs w:val="20"/>
        </w:rPr>
        <w:t xml:space="preserve">Platform services (Prometheus, Grafana, ArgoCD) must be deployed in dedicated namespaces separate from application namespaces. This ensures monitoring continues to function even when the application is broken.</w:t>
      </w:r>
    </w:p>
    <w:p>
      <w:pPr>
        <w:pStyle w:val="ListParagraph"/>
        <w:numPr>
          <w:ilvl w:val="0"/>
          <w:numId w:val="2"/>
        </w:numPr>
        <w:spacing w:after="80"/>
      </w:pPr>
      <w:r>
        <w:rPr>
          <w:rFonts w:ascii="Arial" w:cs="Arial" w:eastAsia="Arial" w:hAnsi="Arial"/>
          <w:sz w:val="20"/>
          <w:szCs w:val="20"/>
        </w:rPr>
        <w:t xml:space="preserve">Alert severity tiers prevent alert fatigue: critical alerts page the on-call engineer immediately, warning alerts notify a channel for business-hours investigation, info alerts require no action. Every alert that fires should require action.</w:t>
      </w:r>
    </w:p>
    <w:p>
      <w:pPr>
        <w:pStyle w:val="ListParagraph"/>
        <w:numPr>
          <w:ilvl w:val="0"/>
          <w:numId w:val="2"/>
        </w:numPr>
        <w:spacing w:after="80"/>
      </w:pPr>
      <w:r>
        <w:rPr>
          <w:rFonts w:ascii="Arial" w:cs="Arial" w:eastAsia="Arial" w:hAnsi="Arial"/>
          <w:sz w:val="20"/>
          <w:szCs w:val="20"/>
        </w:rPr>
        <w:t xml:space="preserve">Alert fatigue leads to alarm blindness — engineers stop trusting the alerting system and real critical alerts get dismissed as noise, causing extended outages.</w:t>
      </w:r>
    </w:p>
    <w:p>
      <w:pPr>
        <w:pStyle w:val="ListParagraph"/>
        <w:numPr>
          <w:ilvl w:val="0"/>
          <w:numId w:val="2"/>
        </w:numPr>
        <w:spacing w:after="80"/>
      </w:pPr>
      <w:r>
        <w:rPr>
          <w:rFonts w:ascii="Arial" w:cs="Arial" w:eastAsia="Arial" w:hAnsi="Arial"/>
          <w:sz w:val="20"/>
          <w:szCs w:val="20"/>
        </w:rPr>
        <w:t xml:space="preserve">The RED method (Rate, Errors, Duration) is the standard framework for monitoring request-driven services. These four panels cover the complete health picture of any web application.</w:t>
      </w:r>
    </w:p>
    <w:p>
      <w:pPr>
        <w:pStyle w:val="ListParagraph"/>
        <w:numPr>
          <w:ilvl w:val="0"/>
          <w:numId w:val="2"/>
        </w:numPr>
        <w:spacing w:after="80"/>
      </w:pPr>
      <w:r>
        <w:rPr>
          <w:rFonts w:ascii="Arial" w:cs="Arial" w:eastAsia="Arial" w:hAnsi="Arial"/>
          <w:sz w:val="20"/>
          <w:szCs w:val="20"/>
        </w:rPr>
        <w:t xml:space="preserve">Average response time hides tail latency. p99 = 8000ms means 1 in 100 users waits 8 seconds — invisible in the average but critical to user experience.</w:t>
      </w:r>
    </w:p>
    <w:p>
      <w:pPr>
        <w:pStyle w:val="ListParagraph"/>
        <w:numPr>
          <w:ilvl w:val="0"/>
          <w:numId w:val="2"/>
        </w:numPr>
        <w:spacing w:after="80"/>
      </w:pPr>
      <w:r>
        <w:rPr>
          <w:rFonts w:ascii="Arial" w:cs="Arial" w:eastAsia="Arial" w:hAnsi="Arial"/>
          <w:sz w:val="20"/>
          <w:szCs w:val="20"/>
        </w:rPr>
        <w:t xml:space="preserve">Service Level Objectives define formal reliability commitments. The error budget makes deployment risk decisions objective: 5% budget remaining with 10 days left means no large risky deployments.</w:t>
      </w:r>
    </w:p>
    <w:p>
      <w:pPr>
        <w:pStyle w:val="ListParagraph"/>
        <w:numPr>
          <w:ilvl w:val="0"/>
          <w:numId w:val="2"/>
        </w:numPr>
        <w:spacing w:after="80"/>
      </w:pPr>
      <w:r>
        <w:rPr>
          <w:rFonts w:ascii="Arial" w:cs="Arial" w:eastAsia="Arial" w:hAnsi="Arial"/>
          <w:sz w:val="20"/>
          <w:szCs w:val="20"/>
        </w:rPr>
        <w:t xml:space="preserve">Alertmanager does not natively support MS Teams. The prometheus-msteams proxy translates Alertmanager webhook payloads into MS Teams message format.</w:t>
      </w:r>
    </w:p>
    <w:p>
      <w:pPr>
        <w:spacing w:after="120"/>
      </w:pPr>
      <w:r>
        <w:t xml:space="preserve"/>
      </w:r>
    </w:p>
    <w:p>
      <w:pPr>
        <w:pStyle w:val="Heading1"/>
      </w:pPr>
      <w:r>
        <w:rPr>
          <w:rFonts w:ascii="Arial" w:cs="Arial" w:eastAsia="Arial" w:hAnsi="Arial"/>
          <w:b/>
          <w:bCs/>
          <w:color w:val="1F3864"/>
          <w:sz w:val="32"/>
          <w:szCs w:val="32"/>
        </w:rPr>
        <w:t xml:space="preserve">9. Progress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 at Start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 at 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Three Pillars of Observability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Solid — metrics, logs, traces and their distinct roles understood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Prometheus architecture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Solid — scrape model, DaemonSet collection, persistent storage requirements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 design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Solid — severity tiers, fatigue, alarm blindness all understood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 method + percentiles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Solid — p99 vs average correctly explained, all four panels authored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SLOs and error budgets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Applied — error budget calculation and deployment decision framework understood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PrometheusRule authoring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Applied — two-rule structure with correct severities and expressions authored</w:t>
            </w:r>
          </w:p>
        </w:tc>
      </w:tr>
    </w:tbl>
    <w:p>
      <w:pPr>
        <w:spacing w:after="120"/>
      </w:pPr>
      <w:r>
        <w:t xml:space="preserve"/>
      </w:r>
    </w:p>
    <w:p>
      <w:pPr>
        <w:pStyle w:val="Heading1"/>
      </w:pPr>
      <w:r>
        <w:rPr>
          <w:rFonts w:ascii="Arial" w:cs="Arial" w:eastAsia="Arial" w:hAnsi="Arial"/>
          <w:b/>
          <w:bCs/>
          <w:color w:val="1F3864"/>
          <w:sz w:val="32"/>
          <w:szCs w:val="32"/>
        </w:rPr>
        <w:t xml:space="preserve">10. Closing Notes</w:t>
      </w:r>
    </w:p>
    <w:p>
      <w:pPr>
        <w:spacing w:after="120"/>
      </w:pPr>
      <w:r>
        <w:rPr>
          <w:rFonts w:ascii="Arial" w:cs="Arial" w:eastAsia="Arial" w:hAnsi="Arial"/>
          <w:sz w:val="20"/>
          <w:szCs w:val="20"/>
        </w:rPr>
        <w:t xml:space="preserve">Session 11 completes the observability layer — the last major component of the production-pattern stack. The programme has now covered every layer of a professional cloud engineering architecture: networking, compute, containers, orchestration, GitOps deployment, and operational visibility.</w:t>
      </w:r>
    </w:p>
    <w:p>
      <w:pPr>
        <w:spacing w:after="120"/>
      </w:pPr>
      <w:r>
        <w:rPr>
          <w:rFonts w:ascii="Arial" w:cs="Arial" w:eastAsia="Arial" w:hAnsi="Arial"/>
          <w:sz w:val="20"/>
          <w:szCs w:val="20"/>
        </w:rPr>
        <w:t xml:space="preserve">The remaining path leads to the capstone project — an independent build where the complete architecture is designed and deployed from scratch. The capstone is not a guided session. It is the opportunity to demonstrate that all eleven sessions of learning have produced genuine first-principles engineering capability: the ability to decompose a problem, choose the right tools, and build a production-grade system without step-by-step instruction.</w:t>
      </w:r>
    </w:p>
    <w:p>
      <w:pPr>
        <w:spacing w:after="120"/>
      </w:pPr>
      <w:r>
        <w:t xml:space="preserve"/>
      </w:r>
    </w:p>
    <w:p>
      <w:pPr>
        <w:jc w:val="center"/>
      </w:pPr>
      <w:r>
        <w:rPr>
          <w:rFonts w:ascii="Arial" w:cs="Arial" w:eastAsia="Arial" w:hAnsi="Arial"/>
          <w:b/>
          <w:bCs/>
          <w:i/>
          <w:iCs/>
          <w:color w:val="888888"/>
          <w:sz w:val="20"/>
          <w:szCs w:val="20"/>
        </w:rPr>
        <w:t xml:space="preserve">End of Session 11 Summary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2026-04-04T00:53:59.804Z</dcterms:created>
  <dcterms:modified xsi:type="dcterms:W3CDTF">2026-04-04T00:53:59.805Z</dcterms:modified>
</cp:coreProperties>
</file>

<file path=docProps/custom.xml><?xml version="1.0" encoding="utf-8"?>
<Properties xmlns="http://schemas.openxmlformats.org/officeDocument/2006/custom-properties" xmlns:vt="http://schemas.openxmlformats.org/officeDocument/2006/docPropsVTypes"/>
</file>