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12 — Official Summary Report</w:t>
      </w:r>
    </w:p>
    <w:p>
      <w:pPr>
        <w:spacing w:after="400"/>
        <w:jc w:val="center"/>
      </w:pPr>
      <w:r>
        <w:rPr>
          <w:rFonts w:ascii="Arial" w:cs="Arial" w:eastAsia="Arial" w:hAnsi="Arial"/>
          <w:i/>
          <w:iCs/>
          <w:color w:val="555555"/>
          <w:sz w:val="24"/>
          <w:szCs w:val="24"/>
        </w:rPr>
        <w:t xml:space="preserve">Cloud Security — RBAC, IRSA, Secrets Management &amp; Network Policies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12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 Kubernetes + Terraform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11 — Observability &amp; Monitoring</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12 of the Cloud Engineering learning program formalised security across four layers: Identity and Access (IAM, RBAC, IRSA), Network Security (Security Groups, NACLs, NetworkPolicy), Data Security (Secrets Management, KMS encryption), and Supply Chain Security (CVE scanning, dependency auditing, image signing). The session drew connections between security decisions made throughout the programme and unified them under the principle of least privilege.</w:t>
      </w:r>
    </w:p>
    <w:p>
      <w:pPr>
        <w:spacing w:after="120"/>
      </w:pPr>
      <w:r>
        <w:rPr>
          <w:rFonts w:ascii="Arial" w:cs="Arial" w:eastAsia="Arial" w:hAnsi="Arial"/>
          <w:sz w:val="20"/>
          <w:szCs w:val="20"/>
        </w:rPr>
        <w:t xml:space="preserve">Three security configuration files were authored: an RBAC manifest defining service accounts, roles, and bindings for both the application and Prometheus, a Terraform IRSA configuration linking a Kubernetes service account to an AWS IAM role with Secrets Manager access, and a Kubernetes NetworkPolicy restricting pod-to-pod traffic and external egress for the my-app namespace.</w:t>
      </w:r>
    </w:p>
    <w:p>
      <w:pPr>
        <w:spacing w:after="120"/>
      </w:pPr>
      <w:r>
        <w:t xml:space="preserve"/>
      </w:r>
    </w:p>
    <w:p>
      <w:pPr>
        <w:pStyle w:val="Heading1"/>
      </w:pPr>
      <w:r>
        <w:rPr>
          <w:rFonts w:ascii="Arial" w:cs="Arial" w:eastAsia="Arial" w:hAnsi="Arial"/>
          <w:b/>
          <w:bCs/>
          <w:color w:val="1F3864"/>
          <w:sz w:val="32"/>
          <w:szCs w:val="32"/>
        </w:rPr>
        <w:t xml:space="preserve">2. Session 11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is slow. Walk through what each observability pillar tells you and which to use 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Traces pinpoints where time goes across services. Metrics shows behaviour over time. Logs shows what happened. Use Traces first for slowness diagnosis.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Traces correctly identified as the right tool with accurate reasoning.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 pod restarts at 2am. What happens to data and what two AWS options prevent this?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data lost — pods are ephemeral. Options: Amazon Managed Prometheus or EBS persistent volume.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Both AWS options correctly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budget at 8% remaining, 12 days left. Team wants to ship a major feature. Recommendation?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Break major feature into smaller incremental releases to avoid consuming remaining budget.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Incremental releases recommended. Third option (delay to next window) also valid.</w:t>
            </w:r>
          </w:p>
        </w:tc>
      </w:tr>
    </w:tbl>
    <w:p>
      <w:pPr>
        <w:spacing w:after="120"/>
      </w:pPr>
      <w:r>
        <w:t xml:space="preserve"/>
      </w:r>
    </w:p>
    <w:p>
      <w:pPr>
        <w:pStyle w:val="Heading1"/>
      </w:pPr>
      <w:r>
        <w:rPr>
          <w:rFonts w:ascii="Arial" w:cs="Arial" w:eastAsia="Arial" w:hAnsi="Arial"/>
          <w:b/>
          <w:bCs/>
          <w:color w:val="1F3864"/>
          <w:sz w:val="32"/>
          <w:szCs w:val="32"/>
        </w:rPr>
        <w:t xml:space="preserve">3. Session 12 Learning Objectives</w:t>
      </w:r>
    </w:p>
    <w:p>
      <w:pPr>
        <w:pStyle w:val="ListParagraph"/>
        <w:numPr>
          <w:ilvl w:val="0"/>
          <w:numId w:val="2"/>
        </w:numPr>
        <w:spacing w:after="80"/>
      </w:pPr>
      <w:r>
        <w:rPr>
          <w:rFonts w:ascii="Arial" w:cs="Arial" w:eastAsia="Arial" w:hAnsi="Arial"/>
          <w:sz w:val="20"/>
          <w:szCs w:val="20"/>
        </w:rPr>
        <w:t xml:space="preserve">Identify least privilege as the unifying security principle across all programme sessions</w:t>
      </w:r>
    </w:p>
    <w:p>
      <w:pPr>
        <w:pStyle w:val="ListParagraph"/>
        <w:numPr>
          <w:ilvl w:val="0"/>
          <w:numId w:val="2"/>
        </w:numPr>
        <w:spacing w:after="80"/>
      </w:pPr>
      <w:r>
        <w:rPr>
          <w:rFonts w:ascii="Arial" w:cs="Arial" w:eastAsia="Arial" w:hAnsi="Arial"/>
          <w:sz w:val="20"/>
          <w:szCs w:val="20"/>
        </w:rPr>
        <w:t xml:space="preserve">Understand the four layers of cloud security: Identity, Network, Data, and Supply Chain</w:t>
      </w:r>
    </w:p>
    <w:p>
      <w:pPr>
        <w:pStyle w:val="ListParagraph"/>
        <w:numPr>
          <w:ilvl w:val="0"/>
          <w:numId w:val="2"/>
        </w:numPr>
        <w:spacing w:after="80"/>
      </w:pPr>
      <w:r>
        <w:rPr>
          <w:rFonts w:ascii="Arial" w:cs="Arial" w:eastAsia="Arial" w:hAnsi="Arial"/>
          <w:sz w:val="20"/>
          <w:szCs w:val="20"/>
        </w:rPr>
        <w:t xml:space="preserve">Understand Kubernetes RBAC — Role, ClusterRole, RoleBinding, ClusterRoleBinding, and ServiceAccount</w:t>
      </w:r>
    </w:p>
    <w:p>
      <w:pPr>
        <w:pStyle w:val="ListParagraph"/>
        <w:numPr>
          <w:ilvl w:val="0"/>
          <w:numId w:val="2"/>
        </w:numPr>
        <w:spacing w:after="80"/>
      </w:pPr>
      <w:r>
        <w:rPr>
          <w:rFonts w:ascii="Arial" w:cs="Arial" w:eastAsia="Arial" w:hAnsi="Arial"/>
          <w:sz w:val="20"/>
          <w:szCs w:val="20"/>
        </w:rPr>
        <w:t xml:space="preserve">Understand why Prometheus needs ClusterRole while application pods need namespace-scoped Role</w:t>
      </w:r>
    </w:p>
    <w:p>
      <w:pPr>
        <w:pStyle w:val="ListParagraph"/>
        <w:numPr>
          <w:ilvl w:val="0"/>
          <w:numId w:val="2"/>
        </w:numPr>
        <w:spacing w:after="80"/>
      </w:pPr>
      <w:r>
        <w:rPr>
          <w:rFonts w:ascii="Arial" w:cs="Arial" w:eastAsia="Arial" w:hAnsi="Arial"/>
          <w:sz w:val="20"/>
          <w:szCs w:val="20"/>
        </w:rPr>
        <w:t xml:space="preserve">Understand the weaknesses of Kubernetes Secrets and why AWS Secrets Manager is the production standard</w:t>
      </w:r>
    </w:p>
    <w:p>
      <w:pPr>
        <w:pStyle w:val="ListParagraph"/>
        <w:numPr>
          <w:ilvl w:val="0"/>
          <w:numId w:val="2"/>
        </w:numPr>
        <w:spacing w:after="80"/>
      </w:pPr>
      <w:r>
        <w:rPr>
          <w:rFonts w:ascii="Arial" w:cs="Arial" w:eastAsia="Arial" w:hAnsi="Arial"/>
          <w:sz w:val="20"/>
          <w:szCs w:val="20"/>
        </w:rPr>
        <w:t xml:space="preserve">Understand IRSA — how Kubernetes Service Accounts link to IAM roles for pod-level AWS permissions</w:t>
      </w:r>
    </w:p>
    <w:p>
      <w:pPr>
        <w:pStyle w:val="ListParagraph"/>
        <w:numPr>
          <w:ilvl w:val="0"/>
          <w:numId w:val="2"/>
        </w:numPr>
        <w:spacing w:after="80"/>
      </w:pPr>
      <w:r>
        <w:rPr>
          <w:rFonts w:ascii="Arial" w:cs="Arial" w:eastAsia="Arial" w:hAnsi="Arial"/>
          <w:sz w:val="20"/>
          <w:szCs w:val="20"/>
        </w:rPr>
        <w:t xml:space="preserve">Understand how IRSA Condition blocks scope trust to a single service account</w:t>
      </w:r>
    </w:p>
    <w:p>
      <w:pPr>
        <w:pStyle w:val="ListParagraph"/>
        <w:numPr>
          <w:ilvl w:val="0"/>
          <w:numId w:val="2"/>
        </w:numPr>
        <w:spacing w:after="80"/>
      </w:pPr>
      <w:r>
        <w:rPr>
          <w:rFonts w:ascii="Arial" w:cs="Arial" w:eastAsia="Arial" w:hAnsi="Arial"/>
          <w:sz w:val="20"/>
          <w:szCs w:val="20"/>
        </w:rPr>
        <w:t xml:space="preserve">Understand why unrestricted pod-to-pod communication enables lateral movement attacks</w:t>
      </w:r>
    </w:p>
    <w:p>
      <w:pPr>
        <w:pStyle w:val="ListParagraph"/>
        <w:numPr>
          <w:ilvl w:val="0"/>
          <w:numId w:val="2"/>
        </w:numPr>
        <w:spacing w:after="80"/>
      </w:pPr>
      <w:r>
        <w:rPr>
          <w:rFonts w:ascii="Arial" w:cs="Arial" w:eastAsia="Arial" w:hAnsi="Arial"/>
          <w:sz w:val="20"/>
          <w:szCs w:val="20"/>
        </w:rPr>
        <w:t xml:space="preserve">Understand NetworkPolicy rule types — podSelector vs namespaceSelector, to/from vs ports-only rules</w:t>
      </w:r>
    </w:p>
    <w:p>
      <w:pPr>
        <w:pStyle w:val="ListParagraph"/>
        <w:numPr>
          <w:ilvl w:val="0"/>
          <w:numId w:val="2"/>
        </w:numPr>
        <w:spacing w:after="80"/>
      </w:pPr>
      <w:r>
        <w:rPr>
          <w:rFonts w:ascii="Arial" w:cs="Arial" w:eastAsia="Arial" w:hAnsi="Arial"/>
          <w:sz w:val="20"/>
          <w:szCs w:val="20"/>
        </w:rPr>
        <w:t xml:space="preserve">Understand the four supply chain security controls: SAST, dependency auditing, CVE scanning, image signing</w:t>
      </w:r>
    </w:p>
    <w:p>
      <w:pPr>
        <w:pStyle w:val="ListParagraph"/>
        <w:numPr>
          <w:ilvl w:val="0"/>
          <w:numId w:val="2"/>
        </w:numPr>
        <w:spacing w:after="80"/>
      </w:pPr>
      <w:r>
        <w:rPr>
          <w:rFonts w:ascii="Arial" w:cs="Arial" w:eastAsia="Arial" w:hAnsi="Arial"/>
          <w:sz w:val="20"/>
          <w:szCs w:val="20"/>
        </w:rPr>
        <w:t xml:space="preserve">Author RBAC manifests with correct service account, role, and binding structure</w:t>
      </w:r>
    </w:p>
    <w:p>
      <w:pPr>
        <w:pStyle w:val="ListParagraph"/>
        <w:numPr>
          <w:ilvl w:val="0"/>
          <w:numId w:val="2"/>
        </w:numPr>
        <w:spacing w:after="80"/>
      </w:pPr>
      <w:r>
        <w:rPr>
          <w:rFonts w:ascii="Arial" w:cs="Arial" w:eastAsia="Arial" w:hAnsi="Arial"/>
          <w:sz w:val="20"/>
          <w:szCs w:val="20"/>
        </w:rPr>
        <w:t xml:space="preserve">Author IRSA Terraform configuration with OIDC condition scoped to a specific service account</w:t>
      </w:r>
    </w:p>
    <w:p>
      <w:pPr>
        <w:pStyle w:val="ListParagraph"/>
        <w:numPr>
          <w:ilvl w:val="0"/>
          <w:numId w:val="2"/>
        </w:numPr>
        <w:spacing w:after="80"/>
      </w:pPr>
      <w:r>
        <w:rPr>
          <w:rFonts w:ascii="Arial" w:cs="Arial" w:eastAsia="Arial" w:hAnsi="Arial"/>
          <w:sz w:val="20"/>
          <w:szCs w:val="20"/>
        </w:rPr>
        <w:t xml:space="preserve">Author NetworkPolicy with separate ingress and egress rules for pod, namespace, and port selectors</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The Four Layers of Cloud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Identity &amp; Access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can do what?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Kubernetes RBAC, IRSA, OIDC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Network Security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can reach what?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Groups, NACLs, NetworkPolicy, Private Subnets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Data Security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protected at rest and in transit?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KMS encryption, AWS Secrets Manager, TLS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Supply Chain Security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inside the code and images?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Checkov, pip-audit, ECR scanning, Cosign image signing</w:t>
            </w:r>
          </w:p>
        </w:tc>
      </w:tr>
    </w:tbl>
    <w:p>
      <w:pPr>
        <w:spacing w:after="120"/>
      </w:pPr>
      <w:r>
        <w:t xml:space="preserve"/>
      </w:r>
    </w:p>
    <w:p>
      <w:pPr>
        <w:pStyle w:val="Heading2"/>
      </w:pPr>
      <w:r>
        <w:rPr>
          <w:rFonts w:ascii="Arial" w:cs="Arial" w:eastAsia="Arial" w:hAnsi="Arial"/>
          <w:b/>
          <w:bCs/>
          <w:color w:val="2E75B6"/>
          <w:sz w:val="26"/>
          <w:szCs w:val="26"/>
        </w:rPr>
        <w:t xml:space="preserve">4.2 Kubernetes RBAC</w:t>
      </w:r>
    </w:p>
    <w:p>
      <w:pPr>
        <w:spacing w:after="120"/>
      </w:pPr>
      <w:r>
        <w:rPr>
          <w:rFonts w:ascii="Arial" w:cs="Arial" w:eastAsia="Arial" w:hAnsi="Arial"/>
          <w:sz w:val="20"/>
          <w:szCs w:val="20"/>
        </w:rPr>
        <w:t xml:space="preserve">Kubernetes RBAC controls what users and service accounts can do inside the cluster — separate from and complementary to IAM which controls AWS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ServiceAccount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identity for pods — equivalent to IAM role for EC2 instances.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Defines permissions within a single namespace. Used for application pods that only need access to their own resources.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Defines permissions cluster-wide across all namespaces. Used for platform services like Prometheus that scrape all pods.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RoleBinding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Grants a Role to a ServiceAccount within a namespace.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ClusterRoleBinding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Grants a ClusterRole to a ServiceAccount cluster-wide.</w:t>
            </w:r>
          </w:p>
        </w:tc>
      </w:tr>
    </w:tbl>
    <w:p>
      <w:pPr>
        <w:spacing w:after="120"/>
      </w:pPr>
      <w:r>
        <w:t xml:space="preserve"/>
      </w:r>
    </w:p>
    <w:p>
      <w:pPr>
        <w:spacing w:after="120"/>
      </w:pPr>
      <w:r>
        <w:rPr>
          <w:rFonts w:ascii="Arial" w:cs="Arial" w:eastAsia="Arial" w:hAnsi="Arial"/>
          <w:sz w:val="20"/>
          <w:szCs w:val="20"/>
        </w:rPr>
        <w:t xml:space="preserve">RBAC verbs define the specific actions permitted: get (read one resource), list (read all resources of a type), watch (stream changes), create, delete, patch. Granting only the minimum verbs required enforces least privilege at the API level.</w:t>
      </w:r>
    </w:p>
    <w:p>
      <w:pPr>
        <w:spacing w:after="120"/>
      </w:pPr>
      <w:r>
        <w:t xml:space="preserve"/>
      </w:r>
    </w:p>
    <w:p>
      <w:pPr>
        <w:pStyle w:val="Heading2"/>
      </w:pPr>
      <w:r>
        <w:rPr>
          <w:rFonts w:ascii="Arial" w:cs="Arial" w:eastAsia="Arial" w:hAnsi="Arial"/>
          <w:b/>
          <w:bCs/>
          <w:color w:val="2E75B6"/>
          <w:sz w:val="26"/>
          <w:szCs w:val="26"/>
        </w:rPr>
        <w:t xml:space="preserve">4.3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in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Committed to Git — exposed to anyone with repo access</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variable in manifest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in Git — same exposure as hardcoded</w:t>
            </w:r>
          </w:p>
        </w:tc>
      </w:tr>
      <w:tr>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Secret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Base64 encoded (not encrypted), readable by anyone with kubectl access, no audit trail</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Secrets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KMS encrypted at rest, IAM-controlled access, full CloudTrail audit trail, automatic rotation</w:t>
            </w:r>
          </w:p>
        </w:tc>
      </w:tr>
    </w:tbl>
    <w:p>
      <w:pPr>
        <w:spacing w:after="120"/>
      </w:pPr>
      <w:r>
        <w:t xml:space="preserve"/>
      </w:r>
    </w:p>
    <w:p>
      <w:pPr>
        <w:pStyle w:val="Heading2"/>
      </w:pPr>
      <w:r>
        <w:rPr>
          <w:rFonts w:ascii="Arial" w:cs="Arial" w:eastAsia="Arial" w:hAnsi="Arial"/>
          <w:b/>
          <w:bCs/>
          <w:color w:val="2E75B6"/>
          <w:sz w:val="26"/>
          <w:szCs w:val="26"/>
        </w:rPr>
        <w:t xml:space="preserve">4.4 IRSA — IAM Roles for Service Accounts</w:t>
      </w:r>
    </w:p>
    <w:p>
      <w:pPr>
        <w:spacing w:after="120"/>
      </w:pPr>
      <w:r>
        <w:rPr>
          <w:rFonts w:ascii="Arial" w:cs="Arial" w:eastAsia="Arial" w:hAnsi="Arial"/>
          <w:sz w:val="20"/>
          <w:szCs w:val="20"/>
        </w:rPr>
        <w:t xml:space="preserve">IRSA bridges Kubernetes identity and AWS identity, giving each pod its own IAM permissions without sharing node-level credentials:</w:t>
      </w:r>
    </w:p>
    <w:p>
      <w:pPr>
        <w:spacing w:after="40"/>
        <w:ind w:left="360"/>
      </w:pPr>
      <w:r>
        <w:rPr>
          <w:rFonts w:ascii="Courier New" w:cs="Courier New" w:eastAsia="Courier New" w:hAnsi="Courier New"/>
          <w:color w:val="2E75B6"/>
          <w:sz w:val="18"/>
          <w:szCs w:val="18"/>
        </w:rPr>
        <w:t xml:space="preserve">Without IRSA:                      With IRSA:</w:t>
      </w:r>
    </w:p>
    <w:p>
      <w:pPr>
        <w:spacing w:after="40"/>
        <w:ind w:left="360"/>
      </w:pPr>
      <w:r>
        <w:rPr>
          <w:rFonts w:ascii="Courier New" w:cs="Courier New" w:eastAsia="Courier New" w:hAnsi="Courier New"/>
          <w:color w:val="2E75B6"/>
          <w:sz w:val="18"/>
          <w:szCs w:val="18"/>
        </w:rPr>
        <w:t xml:space="preserve">All pods share node IAM role       Each pod has its own IAM role</w:t>
      </w:r>
    </w:p>
    <w:p>
      <w:pPr>
        <w:spacing w:after="40"/>
        <w:ind w:left="360"/>
      </w:pPr>
      <w:r>
        <w:rPr>
          <w:rFonts w:ascii="Courier New" w:cs="Courier New" w:eastAsia="Courier New" w:hAnsi="Courier New"/>
          <w:color w:val="2E75B6"/>
          <w:sz w:val="18"/>
          <w:szCs w:val="18"/>
        </w:rPr>
        <w:t xml:space="preserve">Node needs Secrets Manager access  Only specific pod has access</w:t>
      </w:r>
    </w:p>
    <w:p>
      <w:pPr>
        <w:spacing w:after="40"/>
        <w:ind w:left="360"/>
      </w:pPr>
      <w:r>
        <w:rPr>
          <w:rFonts w:ascii="Courier New" w:cs="Courier New" w:eastAsia="Courier New" w:hAnsi="Courier New"/>
          <w:color w:val="2E75B6"/>
          <w:sz w:val="18"/>
          <w:szCs w:val="18"/>
        </w:rPr>
        <w:t xml:space="preserve">Blast radius: entire node          Blast radius: one service account</w:t>
      </w:r>
    </w:p>
    <w:p>
      <w:pPr>
        <w:spacing w:after="120"/>
      </w:pPr>
      <w:r>
        <w:t xml:space="preserve"/>
      </w:r>
    </w:p>
    <w:p>
      <w:pPr>
        <w:spacing w:after="120"/>
      </w:pPr>
      <w:r>
        <w:rPr>
          <w:rFonts w:ascii="Arial" w:cs="Arial" w:eastAsia="Arial" w:hAnsi="Arial"/>
          <w:sz w:val="20"/>
          <w:szCs w:val="20"/>
        </w:rPr>
        <w:t xml:space="preserve">The IRSA trust policy Condition block scopes the trust to a single Kubernetes service account in a single namespace. Removing the condition would allow any pod in the cluster to assume the role — the same risk as removing the repo scope from an OIDC trust policy in Session 7.</w:t>
      </w:r>
    </w:p>
    <w:p>
      <w:pPr>
        <w:spacing w:after="40"/>
        <w:ind w:left="360"/>
      </w:pPr>
      <w:r>
        <w:rPr>
          <w:rFonts w:ascii="Courier New" w:cs="Courier New" w:eastAsia="Courier New" w:hAnsi="Courier New"/>
          <w:color w:val="2E75B6"/>
          <w:sz w:val="18"/>
          <w:szCs w:val="18"/>
        </w:rPr>
        <w:t xml:space="preserve">Condition StringEquals:</w:t>
      </w:r>
    </w:p>
    <w:p>
      <w:pPr>
        <w:spacing w:after="40"/>
        <w:ind w:left="360"/>
      </w:pPr>
      <w:r>
        <w:rPr>
          <w:rFonts w:ascii="Courier New" w:cs="Courier New" w:eastAsia="Courier New" w:hAnsi="Courier New"/>
          <w:color w:val="2E75B6"/>
          <w:sz w:val="18"/>
          <w:szCs w:val="18"/>
        </w:rPr>
        <w:t xml:space="preserve">  system:serviceaccount:my-app:my-app-sa</w:t>
      </w:r>
    </w:p>
    <w:p>
      <w:pPr>
        <w:spacing w:after="40"/>
        <w:ind w:left="360"/>
      </w:pPr>
      <w:r>
        <w:rPr>
          <w:rFonts w:ascii="Courier New" w:cs="Courier New" w:eastAsia="Courier New" w:hAnsi="Courier New"/>
          <w:color w:val="2E75B6"/>
          <w:sz w:val="18"/>
          <w:szCs w:val="18"/>
        </w:rPr>
        <w:t xml:space="preserve">                        ──────  ─────────</w:t>
      </w:r>
    </w:p>
    <w:p>
      <w:pPr>
        <w:spacing w:after="40"/>
        <w:ind w:left="360"/>
      </w:pPr>
      <w:r>
        <w:rPr>
          <w:rFonts w:ascii="Courier New" w:cs="Courier New" w:eastAsia="Courier New" w:hAnsi="Courier New"/>
          <w:color w:val="2E75B6"/>
          <w:sz w:val="18"/>
          <w:szCs w:val="18"/>
        </w:rPr>
        <w:t xml:space="preserve">                        namespace  service account name</w:t>
      </w:r>
    </w:p>
    <w:p>
      <w:pPr>
        <w:spacing w:after="120"/>
      </w:pPr>
      <w:r>
        <w:t xml:space="preserve"/>
      </w:r>
    </w:p>
    <w:p>
      <w:pPr>
        <w:pStyle w:val="Heading2"/>
      </w:pPr>
      <w:r>
        <w:rPr>
          <w:rFonts w:ascii="Arial" w:cs="Arial" w:eastAsia="Arial" w:hAnsi="Arial"/>
          <w:b/>
          <w:bCs/>
          <w:color w:val="2E75B6"/>
          <w:sz w:val="26"/>
          <w:szCs w:val="26"/>
        </w:rPr>
        <w:t xml:space="preserve">4.5 Security Groups vs NACLs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NACL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Evaluates at subnet boundary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Evaluates at instance level</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Stateless — return traffic needs explicit rule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Stateful — return traffic automatic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AND deny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rules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Rules evaluated in number order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rules evaluated together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Ephemeral port range must be explicitly allowed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ephemeral port rules needed</w:t>
            </w:r>
          </w:p>
        </w:tc>
      </w:tr>
    </w:tbl>
    <w:p>
      <w:pPr>
        <w:spacing w:after="120"/>
      </w:pPr>
      <w:r>
        <w:t xml:space="preserve"/>
      </w:r>
    </w:p>
    <w:p>
      <w:pPr>
        <w:pStyle w:val="Heading2"/>
      </w:pPr>
      <w:r>
        <w:rPr>
          <w:rFonts w:ascii="Arial" w:cs="Arial" w:eastAsia="Arial" w:hAnsi="Arial"/>
          <w:b/>
          <w:bCs/>
          <w:color w:val="2E75B6"/>
          <w:sz w:val="26"/>
          <w:szCs w:val="26"/>
        </w:rPr>
        <w:t xml:space="preserve">4.6 Kubernetes NetworkPolicy</w:t>
      </w:r>
    </w:p>
    <w:p>
      <w:pPr>
        <w:spacing w:after="120"/>
      </w:pPr>
      <w:r>
        <w:rPr>
          <w:rFonts w:ascii="Arial" w:cs="Arial" w:eastAsia="Arial" w:hAnsi="Arial"/>
          <w:sz w:val="20"/>
          <w:szCs w:val="20"/>
        </w:rPr>
        <w:t xml:space="preserve">By default every pod can communicate with every other pod across all namespaces. NetworkPolicy restricts this at the pod level, preventing lateral movement after a pod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podSelector in from/to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traffic from/to pods with specific labels in the same namespace.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namespaceSelector in from/to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traffic from/to all pods in a specific namespace. Required for cross-namespace access like Prometheus scraping.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only (no to/from)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outbound traffic to any destination on a specific port. Used for DNS (53 UDP) and external HTTPS (443 TCP).</w:t>
            </w:r>
          </w:p>
        </w:tc>
      </w:tr>
    </w:tbl>
    <w:p>
      <w:pPr>
        <w:spacing w:after="120"/>
      </w:pPr>
      <w:r>
        <w:t xml:space="preserve"/>
      </w:r>
    </w:p>
    <w:p>
      <w:pPr>
        <w:pStyle w:val="Heading2"/>
      </w:pPr>
      <w:r>
        <w:rPr>
          <w:rFonts w:ascii="Arial" w:cs="Arial" w:eastAsia="Arial" w:hAnsi="Arial"/>
          <w:b/>
          <w:bCs/>
          <w:color w:val="2E75B6"/>
          <w:sz w:val="26"/>
          <w:szCs w:val="26"/>
        </w:rPr>
        <w:t xml:space="preserve">4.7 Supply Chain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code and IaC for vulnerabilities before build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Checkov (Terraform), Semgrep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Auditing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libraries for known CVEs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pip-audit, npm audit, Dependabot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 Scanning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image layers against CVE 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ECR scan_on_push (Session 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 Signing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Cryptographic proof image has not been tampered with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Cosign, AWS Signer, Notary</w:t>
            </w:r>
          </w:p>
        </w:tc>
      </w:tr>
    </w:tbl>
    <w:p>
      <w:pPr>
        <w:spacing w:after="120"/>
      </w:pPr>
      <w:r>
        <w:t xml:space="preserve"/>
      </w:r>
    </w:p>
    <w:p>
      <w:pPr>
        <w:spacing w:after="120"/>
      </w:pPr>
      <w:r>
        <w:rPr>
          <w:rFonts w:ascii="Arial" w:cs="Arial" w:eastAsia="Arial" w:hAnsi="Arial"/>
          <w:sz w:val="20"/>
          <w:szCs w:val="20"/>
        </w:rPr>
        <w:t xml:space="preserve">A CVE in a library your application does not call is still a security risk. Attackers enumerate all packages present in an image regardless of whether your code calls them. The correct resolution is to patch the library or update the base image. If no patch is available, the exception must be formally documented, time-bounded, and reviewed — never silently bypassed.</w:t>
      </w:r>
    </w:p>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12</w:t>
      </w:r>
    </w:p>
    <w:p>
      <w:pPr>
        <w:pStyle w:val="Heading2"/>
      </w:pPr>
      <w:r>
        <w:rPr>
          <w:rFonts w:ascii="Arial" w:cs="Arial" w:eastAsia="Arial" w:hAnsi="Arial"/>
          <w:b/>
          <w:bCs/>
          <w:color w:val="2E75B6"/>
          <w:sz w:val="26"/>
          <w:szCs w:val="26"/>
        </w:rPr>
        <w:t xml:space="preserve">5.1 security/rbac.yaml — Six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ServiceAccount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my-app-sa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my-app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ServiceAccount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prometheus-sa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app-reader — get/list configmaps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my-app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RoleBinding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app-reader-binding → my-app-sa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my-app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ClusterRole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prometheus-reader — get/list/watch pods, services, endpoints, nodes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cluster-wide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ClusterRoleBinding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prometheus-reader-binding → prometheus-sa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cluster-wide</w:t>
            </w:r>
          </w:p>
        </w:tc>
      </w:tr>
    </w:tbl>
    <w:p>
      <w:pPr>
        <w:spacing w:after="120"/>
      </w:pPr>
      <w:r>
        <w:t xml:space="preserve"/>
      </w:r>
    </w:p>
    <w:p>
      <w:pPr>
        <w:pStyle w:val="Heading2"/>
      </w:pPr>
      <w:r>
        <w:rPr>
          <w:rFonts w:ascii="Arial" w:cs="Arial" w:eastAsia="Arial" w:hAnsi="Arial"/>
          <w:b/>
          <w:bCs/>
          <w:color w:val="2E75B6"/>
          <w:sz w:val="26"/>
          <w:szCs w:val="26"/>
        </w:rPr>
        <w:t xml:space="preserve">5.2 security/irsa.tf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locals.oidc_issuer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trimprefix removes https:// from EKS cluster OIDC issuer URL for use in condition block.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aws_iam_role.app_role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 Federated OIDC provider. Action: sts:AssumeRoleWithWebIdentity. Condition scoped to system:serviceaccount:my-app:my-app-sa.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aws_iam_role_policy.app_secrets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secretsmanager:GetSecretValue on arn:aws:secretsmanager:us-east-1:468278742450:secret:my-app/* only.</w:t>
            </w:r>
          </w:p>
        </w:tc>
      </w:tr>
    </w:tbl>
    <w:p>
      <w:pPr>
        <w:spacing w:after="120"/>
      </w:pPr>
      <w:r>
        <w:t xml:space="preserve"/>
      </w:r>
    </w:p>
    <w:p>
      <w:pPr>
        <w:pStyle w:val="Heading2"/>
      </w:pPr>
      <w:r>
        <w:rPr>
          <w:rFonts w:ascii="Arial" w:cs="Arial" w:eastAsia="Arial" w:hAnsi="Arial"/>
          <w:b/>
          <w:bCs/>
          <w:color w:val="2E75B6"/>
          <w:sz w:val="26"/>
          <w:szCs w:val="26"/>
        </w:rPr>
        <w:t xml:space="preserve">5.3 security/network-policy.yaml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Selector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from same 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podSelector: app: my-app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from Prometheus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namespaceSelector: kubernetes.io/metadata.name: monitoring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to same 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podSelector: app: my-app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external HTTPS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only: TCP 443 — no destination selector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DNS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only: UDP 53 — no destination selector</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6.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security/rbac.yaml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ServiceAccount resources missing from initial submission. Only Roles and Bindings were submitted.</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ServiceAccount must be declared as a resource before it can be referenced in a RoleBinding. Added both ServiceAccounts at the top of the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security/irsa.tf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 block missing from aws_iam_role resource.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tags (Name, Environment, ManagedBy) added to aws_iam_role at resource level.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security/irsa.tf — second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 placed inside the jsonencode assume_role_policy block — inside the IAM policy JSON, not at Terraform resource level.</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 are a Terraform resource attribute, not an IAM policy field. Moved outside the jsonencode closing bracket.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security/network-policy.yaml — multiple submissions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used as pod label (namespace: monitoring inside podSelector). Ports for DNS and HTTPS combined with podSelector instead of being separate rules.</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selection requires namespaceSelector — a separate field from podSelector. DNS and HTTPS egress rules must be ports-only entries with no to: block — they allow outbound to any destination on those ports.</w:t>
            </w:r>
          </w:p>
        </w:tc>
      </w:tr>
    </w:tbl>
    <w:p>
      <w:pPr>
        <w:spacing w:after="120"/>
      </w:pPr>
      <w:r>
        <w:t xml:space="preserve"/>
      </w:r>
    </w:p>
    <w:p>
      <w:pPr>
        <w:pStyle w:val="Heading1"/>
      </w:pPr>
      <w:r>
        <w:rPr>
          <w:rFonts w:ascii="Arial" w:cs="Arial" w:eastAsia="Arial" w:hAnsi="Arial"/>
          <w:b/>
          <w:bCs/>
          <w:color w:val="1F3864"/>
          <w:sz w:val="32"/>
          <w:szCs w:val="32"/>
        </w:rPr>
        <w:t xml:space="preserve">7. Key Session Takeaways</w:t>
      </w:r>
    </w:p>
    <w:p>
      <w:pPr>
        <w:pStyle w:val="ListParagraph"/>
        <w:numPr>
          <w:ilvl w:val="0"/>
          <w:numId w:val="2"/>
        </w:numPr>
        <w:spacing w:after="80"/>
      </w:pPr>
      <w:r>
        <w:rPr>
          <w:rFonts w:ascii="Arial" w:cs="Arial" w:eastAsia="Arial" w:hAnsi="Arial"/>
          <w:sz w:val="20"/>
          <w:szCs w:val="20"/>
        </w:rPr>
        <w:t xml:space="preserve">Least privilege is the single unifying security principle across all cloud engineering decisions — from IAM statements to network policies to RBAC verbs.</w:t>
      </w:r>
    </w:p>
    <w:p>
      <w:pPr>
        <w:pStyle w:val="ListParagraph"/>
        <w:numPr>
          <w:ilvl w:val="0"/>
          <w:numId w:val="2"/>
        </w:numPr>
        <w:spacing w:after="80"/>
      </w:pPr>
      <w:r>
        <w:rPr>
          <w:rFonts w:ascii="Arial" w:cs="Arial" w:eastAsia="Arial" w:hAnsi="Arial"/>
          <w:sz w:val="20"/>
          <w:szCs w:val="20"/>
        </w:rPr>
        <w:t xml:space="preserve">Kubernetes RBAC uses four resources: Role (namespace-scoped permissions), ClusterRole (cluster-wide permissions), RoleBinding and ClusterRoleBinding to grant them to ServiceAccounts.</w:t>
      </w:r>
    </w:p>
    <w:p>
      <w:pPr>
        <w:pStyle w:val="ListParagraph"/>
        <w:numPr>
          <w:ilvl w:val="0"/>
          <w:numId w:val="2"/>
        </w:numPr>
        <w:spacing w:after="80"/>
      </w:pPr>
      <w:r>
        <w:rPr>
          <w:rFonts w:ascii="Arial" w:cs="Arial" w:eastAsia="Arial" w:hAnsi="Arial"/>
          <w:sz w:val="20"/>
          <w:szCs w:val="20"/>
        </w:rPr>
        <w:t xml:space="preserve">Application pods need namespace-scoped Roles. Platform services like Prometheus need ClusterRoles because they must access resources across all namespaces.</w:t>
      </w:r>
    </w:p>
    <w:p>
      <w:pPr>
        <w:pStyle w:val="ListParagraph"/>
        <w:numPr>
          <w:ilvl w:val="0"/>
          <w:numId w:val="2"/>
        </w:numPr>
        <w:spacing w:after="80"/>
      </w:pPr>
      <w:r>
        <w:rPr>
          <w:rFonts w:ascii="Arial" w:cs="Arial" w:eastAsia="Arial" w:hAnsi="Arial"/>
          <w:sz w:val="20"/>
          <w:szCs w:val="20"/>
        </w:rPr>
        <w:t xml:space="preserve">Kubernetes Secrets are base64 encoded — not encrypted. Anyone with kubectl access can read them. AWS Secrets Manager provides real KMS encryption, IAM-controlled access, automatic rotation, and full CloudTrail audit trail.</w:t>
      </w:r>
    </w:p>
    <w:p>
      <w:pPr>
        <w:pStyle w:val="ListParagraph"/>
        <w:numPr>
          <w:ilvl w:val="0"/>
          <w:numId w:val="2"/>
        </w:numPr>
        <w:spacing w:after="80"/>
      </w:pPr>
      <w:r>
        <w:rPr>
          <w:rFonts w:ascii="Arial" w:cs="Arial" w:eastAsia="Arial" w:hAnsi="Arial"/>
          <w:sz w:val="20"/>
          <w:szCs w:val="20"/>
        </w:rPr>
        <w:t xml:space="preserve">IRSA links a Kubernetes ServiceAccount to an IAM role using OIDC federation. The Condition block scopes the trust to a single service account in a single namespace — removing it would allow any pod in the cluster to assume the role.</w:t>
      </w:r>
    </w:p>
    <w:p>
      <w:pPr>
        <w:pStyle w:val="ListParagraph"/>
        <w:numPr>
          <w:ilvl w:val="0"/>
          <w:numId w:val="2"/>
        </w:numPr>
        <w:spacing w:after="80"/>
      </w:pPr>
      <w:r>
        <w:rPr>
          <w:rFonts w:ascii="Arial" w:cs="Arial" w:eastAsia="Arial" w:hAnsi="Arial"/>
          <w:sz w:val="20"/>
          <w:szCs w:val="20"/>
        </w:rPr>
        <w:t xml:space="preserve">NACLs evaluate at the subnet boundary and are stateless — return traffic requires explicit ephemeral port rules. Security Groups evaluate at the instance level and are stateful — return traffic is automatic. Security Groups are the primary control; NACLs provide defence in depth.</w:t>
      </w:r>
    </w:p>
    <w:p>
      <w:pPr>
        <w:pStyle w:val="ListParagraph"/>
        <w:numPr>
          <w:ilvl w:val="0"/>
          <w:numId w:val="2"/>
        </w:numPr>
        <w:spacing w:after="80"/>
      </w:pPr>
      <w:r>
        <w:rPr>
          <w:rFonts w:ascii="Arial" w:cs="Arial" w:eastAsia="Arial" w:hAnsi="Arial"/>
          <w:sz w:val="20"/>
          <w:szCs w:val="20"/>
        </w:rPr>
        <w:t xml:space="preserve">By default all pods can communicate with all other pods. NetworkPolicy restricts this. namespaceSelector is required for cross-namespace rules — namespace cannot be specified as a pod label inside podSelector.</w:t>
      </w:r>
    </w:p>
    <w:p>
      <w:pPr>
        <w:pStyle w:val="ListParagraph"/>
        <w:numPr>
          <w:ilvl w:val="0"/>
          <w:numId w:val="2"/>
        </w:numPr>
        <w:spacing w:after="80"/>
      </w:pPr>
      <w:r>
        <w:rPr>
          <w:rFonts w:ascii="Arial" w:cs="Arial" w:eastAsia="Arial" w:hAnsi="Arial"/>
          <w:sz w:val="20"/>
          <w:szCs w:val="20"/>
        </w:rPr>
        <w:t xml:space="preserve">NetworkPolicy ports-only egress rules (DNS port 53, HTTPS port 443) must have no to: block — they allow outbound to any destination on that port. Adding a podSelector incorrectly restricts them to internal pod traffic only.</w:t>
      </w:r>
    </w:p>
    <w:p>
      <w:pPr>
        <w:pStyle w:val="ListParagraph"/>
        <w:numPr>
          <w:ilvl w:val="0"/>
          <w:numId w:val="2"/>
        </w:numPr>
        <w:spacing w:after="80"/>
      </w:pPr>
      <w:r>
        <w:rPr>
          <w:rFonts w:ascii="Arial" w:cs="Arial" w:eastAsia="Arial" w:hAnsi="Arial"/>
          <w:sz w:val="20"/>
          <w:szCs w:val="20"/>
        </w:rPr>
        <w:t xml:space="preserve">Supply chain security requires four controls: SAST for code and IaC, dependency auditing for libraries, CVE scanning for container images, and image signing for tamper detection. A CVE in unused code is still a valid security risk — patch or formally document the exception.</w:t>
      </w:r>
    </w:p>
    <w:p>
      <w:pPr>
        <w:spacing w:after="120"/>
      </w:pPr>
      <w:r>
        <w:t xml:space="preserve"/>
      </w:r>
    </w:p>
    <w:p>
      <w:pPr>
        <w:pStyle w:val="Heading1"/>
      </w:pPr>
      <w:r>
        <w:rPr>
          <w:rFonts w:ascii="Arial" w:cs="Arial" w:eastAsia="Arial" w:hAnsi="Arial"/>
          <w:b/>
          <w:bCs/>
          <w:color w:val="1F3864"/>
          <w:sz w:val="32"/>
          <w:szCs w:val="32"/>
        </w:rPr>
        <w:t xml:space="preserve">8. Progress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principles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across sessions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Formalised — four layers identified, least privilege as unifying theme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RBAC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all six resource types authored correctly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OIDC federation, condition scoping, Secrets Manager policy authored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Kubernetes Secret weaknesses and AWS Secrets Manager advantages correctly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after corrections — namespaceSelector vs podSelector distinction and ports-only rule pattern understood</w:t>
            </w:r>
          </w:p>
        </w:tc>
      </w:tr>
    </w:tbl>
    <w:p>
      <w:pPr>
        <w:spacing w:after="120"/>
      </w:pPr>
      <w:r>
        <w:t xml:space="preserve"/>
      </w:r>
    </w:p>
    <w:p>
      <w:pPr>
        <w:pStyle w:val="Heading1"/>
      </w:pPr>
      <w:r>
        <w:rPr>
          <w:rFonts w:ascii="Arial" w:cs="Arial" w:eastAsia="Arial" w:hAnsi="Arial"/>
          <w:b/>
          <w:bCs/>
          <w:color w:val="1F3864"/>
          <w:sz w:val="32"/>
          <w:szCs w:val="32"/>
        </w:rPr>
        <w:t xml:space="preserve">9. Full Project Structure After Session 12</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.github/workflows/terraform-vpc.yml</w:t>
      </w:r>
    </w:p>
    <w:p>
      <w:pPr>
        <w:spacing w:after="40"/>
        <w:ind w:left="360"/>
      </w:pPr>
      <w:r>
        <w:rPr>
          <w:rFonts w:ascii="Courier New" w:cs="Courier New" w:eastAsia="Courier New" w:hAnsi="Courier New"/>
          <w:color w:val="2E75B6"/>
          <w:sz w:val="18"/>
          <w:szCs w:val="18"/>
        </w:rPr>
        <w:t xml:space="preserve">├── bootstrap/main.tf</w:t>
      </w:r>
    </w:p>
    <w:p>
      <w:pPr>
        <w:spacing w:after="40"/>
        <w:ind w:left="360"/>
      </w:pPr>
      <w:r>
        <w:rPr>
          <w:rFonts w:ascii="Courier New" w:cs="Courier New" w:eastAsia="Courier New" w:hAnsi="Courier New"/>
          <w:color w:val="2E75B6"/>
          <w:sz w:val="18"/>
          <w:szCs w:val="18"/>
        </w:rPr>
        <w:t xml:space="preserve">├── modules/  vpc/  ec2/  ecs/  eks/</w:t>
      </w:r>
    </w:p>
    <w:p>
      <w:pPr>
        <w:spacing w:after="40"/>
        <w:ind w:left="360"/>
      </w:pPr>
      <w:r>
        <w:rPr>
          <w:rFonts w:ascii="Courier New" w:cs="Courier New" w:eastAsia="Courier New" w:hAnsi="Courier New"/>
          <w:color w:val="2E75B6"/>
          <w:sz w:val="18"/>
          <w:szCs w:val="18"/>
        </w:rPr>
        <w:t xml:space="preserve">├── environments/dev/  vpc/  ec2/  ecs/  eks/</w:t>
      </w:r>
    </w:p>
    <w:p>
      <w:pPr>
        <w:spacing w:after="40"/>
        <w:ind w:left="360"/>
      </w:pPr>
      <w:r>
        <w:rPr>
          <w:rFonts w:ascii="Courier New" w:cs="Courier New" w:eastAsia="Courier New" w:hAnsi="Courier New"/>
          <w:color w:val="2E75B6"/>
          <w:sz w:val="18"/>
          <w:szCs w:val="18"/>
        </w:rPr>
        <w:t xml:space="preserve">├── k8s/app.yaml                    ← Session 10</w:t>
      </w:r>
    </w:p>
    <w:p>
      <w:pPr>
        <w:spacing w:after="40"/>
        <w:ind w:left="360"/>
      </w:pPr>
      <w:r>
        <w:rPr>
          <w:rFonts w:ascii="Courier New" w:cs="Courier New" w:eastAsia="Courier New" w:hAnsi="Courier New"/>
          <w:color w:val="2E75B6"/>
          <w:sz w:val="18"/>
          <w:szCs w:val="18"/>
        </w:rPr>
        <w:t xml:space="preserve">├── argocd/application.yaml          ← Session 10</w:t>
      </w:r>
    </w:p>
    <w:p>
      <w:pPr>
        <w:spacing w:after="40"/>
        <w:ind w:left="360"/>
      </w:pPr>
      <w:r>
        <w:rPr>
          <w:rFonts w:ascii="Courier New" w:cs="Courier New" w:eastAsia="Courier New" w:hAnsi="Courier New"/>
          <w:color w:val="2E75B6"/>
          <w:sz w:val="18"/>
          <w:szCs w:val="18"/>
        </w:rPr>
        <w:t xml:space="preserve">├── monitoring/                      ← Session 11</w:t>
      </w:r>
    </w:p>
    <w:p>
      <w:pPr>
        <w:spacing w:after="40"/>
        <w:ind w:left="360"/>
      </w:pPr>
      <w:r>
        <w:rPr>
          <w:rFonts w:ascii="Courier New" w:cs="Courier New" w:eastAsia="Courier New" w:hAnsi="Courier New"/>
          <w:color w:val="2E75B6"/>
          <w:sz w:val="18"/>
          <w:szCs w:val="18"/>
        </w:rPr>
        <w:t xml:space="preserve">│   ├── values.yaml</w:t>
      </w:r>
    </w:p>
    <w:p>
      <w:pPr>
        <w:spacing w:after="40"/>
        <w:ind w:left="360"/>
      </w:pPr>
      <w:r>
        <w:rPr>
          <w:rFonts w:ascii="Courier New" w:cs="Courier New" w:eastAsia="Courier New" w:hAnsi="Courier New"/>
          <w:color w:val="2E75B6"/>
          <w:sz w:val="18"/>
          <w:szCs w:val="18"/>
        </w:rPr>
        <w:t xml:space="preserve">│   ├── alerts/app-alerts.yaml</w:t>
      </w:r>
    </w:p>
    <w:p>
      <w:pPr>
        <w:spacing w:after="40"/>
        <w:ind w:left="360"/>
      </w:pPr>
      <w:r>
        <w:rPr>
          <w:rFonts w:ascii="Courier New" w:cs="Courier New" w:eastAsia="Courier New" w:hAnsi="Courier New"/>
          <w:color w:val="2E75B6"/>
          <w:sz w:val="18"/>
          <w:szCs w:val="18"/>
        </w:rPr>
        <w:t xml:space="preserve">│   └── dashboards/app-dashboard.json</w:t>
      </w:r>
    </w:p>
    <w:p>
      <w:pPr>
        <w:spacing w:after="40"/>
        <w:ind w:left="360"/>
      </w:pPr>
      <w:r>
        <w:rPr>
          <w:rFonts w:ascii="Courier New" w:cs="Courier New" w:eastAsia="Courier New" w:hAnsi="Courier New"/>
          <w:color w:val="2E75B6"/>
          <w:sz w:val="18"/>
          <w:szCs w:val="18"/>
        </w:rPr>
        <w:t xml:space="preserve">└── security/                        ← Session 12 (new)</w:t>
      </w:r>
    </w:p>
    <w:p>
      <w:pPr>
        <w:spacing w:after="40"/>
        <w:ind w:left="360"/>
      </w:pPr>
      <w:r>
        <w:rPr>
          <w:rFonts w:ascii="Courier New" w:cs="Courier New" w:eastAsia="Courier New" w:hAnsi="Courier New"/>
          <w:color w:val="2E75B6"/>
          <w:sz w:val="18"/>
          <w:szCs w:val="18"/>
        </w:rPr>
        <w:t xml:space="preserve">    ├── rbac.yaml                    ← ServiceAccounts, Roles, Bindings</w:t>
      </w:r>
    </w:p>
    <w:p>
      <w:pPr>
        <w:spacing w:after="40"/>
        <w:ind w:left="360"/>
      </w:pPr>
      <w:r>
        <w:rPr>
          <w:rFonts w:ascii="Courier New" w:cs="Courier New" w:eastAsia="Courier New" w:hAnsi="Courier New"/>
          <w:color w:val="2E75B6"/>
          <w:sz w:val="18"/>
          <w:szCs w:val="18"/>
        </w:rPr>
        <w:t xml:space="preserve">    ├── irsa.tf                      ← IRSA IAM role + Secrets Manager policy</w:t>
      </w:r>
    </w:p>
    <w:p>
      <w:pPr>
        <w:spacing w:after="40"/>
        <w:ind w:left="360"/>
      </w:pPr>
      <w:r>
        <w:rPr>
          <w:rFonts w:ascii="Courier New" w:cs="Courier New" w:eastAsia="Courier New" w:hAnsi="Courier New"/>
          <w:color w:val="2E75B6"/>
          <w:sz w:val="18"/>
          <w:szCs w:val="18"/>
        </w:rPr>
        <w:t xml:space="preserve">    └── network-policy.yaml          ← Pod traffic restrictions</w:t>
      </w:r>
    </w:p>
    <w:p>
      <w:pPr>
        <w:spacing w:after="120"/>
      </w:pPr>
      <w:r>
        <w:t xml:space="preserve"/>
      </w:r>
    </w:p>
    <w:p>
      <w:pPr>
        <w:pStyle w:val="Heading1"/>
      </w:pPr>
      <w:r>
        <w:rPr>
          <w:rFonts w:ascii="Arial" w:cs="Arial" w:eastAsia="Arial" w:hAnsi="Arial"/>
          <w:b/>
          <w:bCs/>
          <w:color w:val="1F3864"/>
          <w:sz w:val="32"/>
          <w:szCs w:val="32"/>
        </w:rPr>
        <w:t xml:space="preserve">10. Closing Notes</w:t>
      </w:r>
    </w:p>
    <w:p>
      <w:pPr>
        <w:spacing w:after="120"/>
      </w:pPr>
      <w:r>
        <w:rPr>
          <w:rFonts w:ascii="Arial" w:cs="Arial" w:eastAsia="Arial" w:hAnsi="Arial"/>
          <w:sz w:val="20"/>
          <w:szCs w:val="20"/>
        </w:rPr>
        <w:t xml:space="preserve">Session 12 completes the core programme curriculum. Twelve sessions have built every layer of a production-grade cloud engineering architecture: networking, compute, containers, orchestration, GitOps deployment, observability, and security. Each layer has been implemented with production-pattern tooling, deployed to real AWS infrastructure, and documented with the reasoning behind every decision.</w:t>
      </w:r>
    </w:p>
    <w:p>
      <w:pPr>
        <w:spacing w:after="120"/>
      </w:pPr>
      <w:r>
        <w:rPr>
          <w:rFonts w:ascii="Arial" w:cs="Arial" w:eastAsia="Arial" w:hAnsi="Arial"/>
          <w:sz w:val="20"/>
          <w:szCs w:val="20"/>
        </w:rPr>
        <w:t xml:space="preserve">The capstone project is next. It is an independent build — no step-by-step guidance. The brief will describe a production scenario and the architecture must be designed and implemented from scratch using the tools and principles from the programme. The capstone is the opportunity to demonstrate that the learning has produced genuine engineering capability: the ability to decompose a problem to its first principles, choose the right tools, and build a system that would stand up in a professional environment.</w:t>
      </w:r>
    </w:p>
    <w:p>
      <w:pPr>
        <w:spacing w:after="120"/>
      </w:pPr>
      <w:r>
        <w:t xml:space="preserve"/>
      </w:r>
    </w:p>
    <w:p>
      <w:pPr>
        <w:jc w:val="center"/>
      </w:pPr>
      <w:r>
        <w:rPr>
          <w:rFonts w:ascii="Arial" w:cs="Arial" w:eastAsia="Arial" w:hAnsi="Arial"/>
          <w:b/>
          <w:bCs/>
          <w:i/>
          <w:iCs/>
          <w:color w:val="888888"/>
          <w:sz w:val="20"/>
          <w:szCs w:val="20"/>
        </w:rPr>
        <w:t xml:space="preserve">End of Session 12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2026-04-07T00:01:32.496Z</dcterms:created>
  <dcterms:modified xsi:type="dcterms:W3CDTF">2026-04-07T00:01:32.497Z</dcterms:modified>
</cp:coreProperties>
</file>

<file path=docProps/custom.xml><?xml version="1.0" encoding="utf-8"?>
<Properties xmlns="http://schemas.openxmlformats.org/officeDocument/2006/custom-properties" xmlns:vt="http://schemas.openxmlformats.org/officeDocument/2006/docPropsVTypes"/>
</file>