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48"/>
          <w:szCs w:val="48"/>
        </w:rPr>
        <w:t xml:space="preserve">CLOUD ENGINEERING PROGRAM</w:t>
      </w:r>
    </w:p>
    <w:p>
      <w:pPr>
        <w:spacing w:before="0" w:after="80"/>
        <w:jc w:val="center"/>
      </w:pPr>
      <w:r>
        <w:rPr>
          <w:rFonts w:ascii="Arial" w:cs="Arial" w:eastAsia="Arial" w:hAnsi="Arial"/>
          <w:color w:val="2E75B6"/>
          <w:sz w:val="32"/>
          <w:szCs w:val="32"/>
        </w:rPr>
        <w:t xml:space="preserve">Session 2 — Official Summary Report</w:t>
      </w:r>
    </w:p>
    <w:p>
      <w:pPr>
        <w:spacing w:before="0" w:after="240"/>
        <w:jc w:val="center"/>
      </w:pPr>
      <w:r>
        <w:rPr>
          <w:rFonts w:ascii="Arial" w:cs="Arial" w:eastAsia="Arial" w:hAnsi="Arial"/>
          <w:i/>
          <w:iCs/>
          <w:color w:val="444444"/>
          <w:sz w:val="24"/>
          <w:szCs w:val="24"/>
        </w:rPr>
        <w:t xml:space="preserve">Terraform Modules &amp; Live AWS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Multi-Cloud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Intermediate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Platform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1 — Terraform Fundamentals</w:t>
            </w:r>
          </w:p>
        </w:tc>
      </w:tr>
    </w:tbl>
    <w:p>
      <w:pPr>
        <w:spacing w:before="100" w:after="100"/>
      </w:pPr>
      <w:r>
        <w:t xml:space="preserve"/>
      </w:r>
    </w:p>
    <w:p>
      <w:pPr>
        <w:pBdr>
          <w:bottom w:val="single" w:color="2E75B6" w:sz="4" w:space="1"/>
        </w:pBdr>
        <w:spacing w:before="200" w:after="200"/>
      </w:pPr>
    </w:p>
    <w:p>
      <w:pPr>
        <w:pStyle w:val="Heading1"/>
        <w:spacing w:before="360" w:after="120"/>
      </w:pPr>
      <w:r>
        <w:rPr>
          <w:rFonts w:ascii="Arial" w:cs="Arial" w:eastAsia="Arial" w:hAnsi="Arial"/>
          <w:b/>
          <w:bCs/>
          <w:sz w:val="32"/>
          <w:szCs w:val="32"/>
        </w:rPr>
        <w:t xml:space="preserve">1. Executive Summary</w:t>
      </w:r>
    </w:p>
    <w:p>
      <w:pPr>
        <w:spacing w:before="60" w:after="60"/>
      </w:pPr>
      <w:r>
        <w:rPr>
          <w:rFonts w:ascii="Arial" w:cs="Arial" w:eastAsia="Arial" w:hAnsi="Arial"/>
          <w:sz w:val="22"/>
          <w:szCs w:val="22"/>
        </w:rPr>
        <w:t xml:space="preserve">Session 2 of the Cloud Engineering learning program built directly on the foundational Terraform and AWS knowledge established in Session 1. The session introduced Terraform modules as the professional pattern for packaging reusable infrastructure, covering module design principles, file structure, provider inheritance, output interfaces, and the critical separation between module implementation and calling environments.</w:t>
      </w:r>
    </w:p>
    <w:p>
      <w:pPr>
        <w:spacing w:before="60" w:after="60"/>
      </w:pPr>
      <w:r>
        <w:rPr>
          <w:rFonts w:ascii="Arial" w:cs="Arial" w:eastAsia="Arial" w:hAnsi="Arial"/>
          <w:sz w:val="22"/>
          <w:szCs w:val="22"/>
        </w:rPr>
        <w:t xml:space="preserve">The session concluded with a complete hands-on AWS deployment of the modular architecture, taking the module structure from code through init, plan, apply, console verification, and destroy — demonstrating the full lifecycle of module-based infrastructure management against a live AWS account.</w:t>
      </w:r>
    </w:p>
    <w:p>
      <w:pPr>
        <w:spacing w:before="100" w:after="100"/>
      </w:pPr>
      <w:r>
        <w:t xml:space="preserve"/>
      </w:r>
    </w:p>
    <w:p>
      <w:pPr>
        <w:pStyle w:val="Heading1"/>
        <w:spacing w:before="360" w:after="120"/>
      </w:pPr>
      <w:r>
        <w:rPr>
          <w:rFonts w:ascii="Arial" w:cs="Arial" w:eastAsia="Arial" w:hAnsi="Arial"/>
          <w:b/>
          <w:bCs/>
          <w:sz w:val="32"/>
          <w:szCs w:val="32"/>
        </w:rPr>
        <w:t xml:space="preserve">2. Session Context</w:t>
      </w:r>
    </w:p>
    <w:p>
      <w:pPr>
        <w:pStyle w:val="Heading2"/>
        <w:spacing w:before="240" w:after="80"/>
      </w:pPr>
      <w:r>
        <w:rPr>
          <w:rFonts w:ascii="Arial" w:cs="Arial" w:eastAsia="Arial" w:hAnsi="Arial"/>
          <w:b/>
          <w:bCs/>
          <w:sz w:val="26"/>
          <w:szCs w:val="26"/>
        </w:rPr>
        <w:t xml:space="preserve">2.1 Session 1 Recap — What Was Already Known</w:t>
      </w:r>
    </w:p>
    <w:p>
      <w:pPr>
        <w:spacing w:before="60" w:after="60"/>
      </w:pPr>
      <w:r>
        <w:rPr>
          <w:rFonts w:ascii="Arial" w:cs="Arial" w:eastAsia="Arial" w:hAnsi="Arial"/>
          <w:sz w:val="22"/>
          <w:szCs w:val="22"/>
        </w:rPr>
        <w:t xml:space="preserve">Chris entered Session 2 having successfully completed the following in Session 1:</w:t>
      </w:r>
    </w:p>
    <w:p>
      <w:pPr>
        <w:pStyle w:val="ListParagraph"/>
        <w:numPr>
          <w:ilvl w:val="0"/>
          <w:numId w:val="2"/>
        </w:numPr>
        <w:spacing w:before="40" w:after="40"/>
      </w:pPr>
      <w:r>
        <w:rPr>
          <w:rFonts w:ascii="Arial" w:cs="Arial" w:eastAsia="Arial" w:hAnsi="Arial"/>
          <w:sz w:val="22"/>
          <w:szCs w:val="22"/>
        </w:rPr>
        <w:t xml:space="preserve">Authored a complete flat Terraform project from scratch (VPC, subnet, IGW, route table, security groups)</w:t>
      </w:r>
    </w:p>
    <w:p>
      <w:pPr>
        <w:pStyle w:val="ListParagraph"/>
        <w:numPr>
          <w:ilvl w:val="0"/>
          <w:numId w:val="2"/>
        </w:numPr>
        <w:spacing w:before="40" w:after="40"/>
      </w:pPr>
      <w:r>
        <w:rPr>
          <w:rFonts w:ascii="Arial" w:cs="Arial" w:eastAsia="Arial" w:hAnsi="Arial"/>
          <w:sz w:val="22"/>
          <w:szCs w:val="22"/>
        </w:rPr>
        <w:t xml:space="preserve">Mastered variables, outputs, and environment-specific .tfvars configuration</w:t>
      </w:r>
    </w:p>
    <w:p>
      <w:pPr>
        <w:pStyle w:val="ListParagraph"/>
        <w:numPr>
          <w:ilvl w:val="0"/>
          <w:numId w:val="2"/>
        </w:numPr>
        <w:spacing w:before="40" w:after="40"/>
      </w:pPr>
      <w:r>
        <w:rPr>
          <w:rFonts w:ascii="Arial" w:cs="Arial" w:eastAsia="Arial" w:hAnsi="Arial"/>
          <w:sz w:val="22"/>
          <w:szCs w:val="22"/>
        </w:rPr>
        <w:t xml:space="preserve">Understood the Terraform core workflow: init, plan, apply, destroy</w:t>
      </w:r>
    </w:p>
    <w:p>
      <w:pPr>
        <w:pStyle w:val="ListParagraph"/>
        <w:numPr>
          <w:ilvl w:val="0"/>
          <w:numId w:val="2"/>
        </w:numPr>
        <w:spacing w:before="40" w:after="40"/>
      </w:pPr>
      <w:r>
        <w:rPr>
          <w:rFonts w:ascii="Arial" w:cs="Arial" w:eastAsia="Arial" w:hAnsi="Arial"/>
          <w:sz w:val="22"/>
          <w:szCs w:val="22"/>
        </w:rPr>
        <w:t xml:space="preserve">Deployed real AWS infrastructure and verified it live in the AWS Console</w:t>
      </w:r>
    </w:p>
    <w:p>
      <w:pPr>
        <w:spacing w:before="100" w:after="100"/>
      </w:pPr>
      <w:r>
        <w:t xml:space="preserve"/>
      </w:r>
    </w:p>
    <w:p>
      <w:pPr>
        <w:pStyle w:val="Heading2"/>
        <w:spacing w:before="240" w:after="80"/>
      </w:pPr>
      <w:r>
        <w:rPr>
          <w:rFonts w:ascii="Arial" w:cs="Arial" w:eastAsia="Arial" w:hAnsi="Arial"/>
          <w:b/>
          <w:bCs/>
          <w:sz w:val="26"/>
          <w:szCs w:val="26"/>
        </w:rPr>
        <w:t xml:space="preserve">2.2 Session 2 Opening — Recall Assessment</w:t>
      </w:r>
    </w:p>
    <w:p>
      <w:pPr>
        <w:spacing w:before="60" w:after="60"/>
      </w:pPr>
      <w:r>
        <w:rPr>
          <w:rFonts w:ascii="Arial" w:cs="Arial" w:eastAsia="Arial" w:hAnsi="Arial"/>
          <w:sz w:val="22"/>
          <w:szCs w:val="22"/>
        </w:rPr>
        <w:t xml:space="preserve">Session 2 opened with a structured recall check covering Session 1 material.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rPr>
          <w:tblHeader/>
        </w:trP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Student Response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do +, ~, and - mean in terraform plan?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Correctly identified all three symbols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 with one refinement: ~ (update) is routine; - (destroy) is the critical one requiring deliberate review</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do you override variables for a different environment?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 and -var-file flags (with minor typo: -vars-file)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Partially correct — correct flags, minor typo corrected</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does vpc_id = aws_vpc.main.id do?</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a value"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 refinement — it is a dynamic reference resolved at apply time that creates implicit dependency ordering, not a stored value</w:t>
            </w:r>
          </w:p>
        </w:tc>
      </w:tr>
    </w:tbl>
    <w:p>
      <w:pPr>
        <w:spacing w:before="100" w:after="100"/>
      </w:pPr>
      <w:r>
        <w:t xml:space="preserve"/>
      </w:r>
    </w:p>
    <w:p>
      <w:pPr>
        <w:pStyle w:val="Heading1"/>
        <w:spacing w:before="360" w:after="120"/>
      </w:pPr>
      <w:r>
        <w:rPr>
          <w:rFonts w:ascii="Arial" w:cs="Arial" w:eastAsia="Arial" w:hAnsi="Arial"/>
          <w:b/>
          <w:bCs/>
          <w:sz w:val="32"/>
          <w:szCs w:val="32"/>
        </w:rPr>
        <w:t xml:space="preserve">3. Session 2 Learning Objectives</w:t>
      </w:r>
    </w:p>
    <w:p>
      <w:pPr>
        <w:pStyle w:val="ListParagraph"/>
        <w:numPr>
          <w:ilvl w:val="0"/>
          <w:numId w:val="2"/>
        </w:numPr>
        <w:spacing w:before="40" w:after="40"/>
      </w:pPr>
      <w:r>
        <w:rPr>
          <w:rFonts w:ascii="Arial" w:cs="Arial" w:eastAsia="Arial" w:hAnsi="Arial"/>
          <w:sz w:val="22"/>
          <w:szCs w:val="22"/>
        </w:rPr>
        <w:t xml:space="preserve">Understand the problem that Terraform modules solve — code duplication across environments</w:t>
      </w:r>
    </w:p>
    <w:p>
      <w:pPr>
        <w:pStyle w:val="ListParagraph"/>
        <w:numPr>
          <w:ilvl w:val="0"/>
          <w:numId w:val="2"/>
        </w:numPr>
        <w:spacing w:before="40" w:after="40"/>
      </w:pPr>
      <w:r>
        <w:rPr>
          <w:rFonts w:ascii="Arial" w:cs="Arial" w:eastAsia="Arial" w:hAnsi="Arial"/>
          <w:sz w:val="22"/>
          <w:szCs w:val="22"/>
        </w:rPr>
        <w:t xml:space="preserve">Learn the standard module directory structure and file responsibilities</w:t>
      </w:r>
    </w:p>
    <w:p>
      <w:pPr>
        <w:pStyle w:val="ListParagraph"/>
        <w:numPr>
          <w:ilvl w:val="0"/>
          <w:numId w:val="2"/>
        </w:numPr>
        <w:spacing w:before="40" w:after="40"/>
      </w:pPr>
      <w:r>
        <w:rPr>
          <w:rFonts w:ascii="Arial" w:cs="Arial" w:eastAsia="Arial" w:hAnsi="Arial"/>
          <w:sz w:val="22"/>
          <w:szCs w:val="22"/>
        </w:rPr>
        <w:t xml:space="preserve">Understand the distinction between module implementation and calling environments</w:t>
      </w:r>
    </w:p>
    <w:p>
      <w:pPr>
        <w:pStyle w:val="ListParagraph"/>
        <w:numPr>
          <w:ilvl w:val="0"/>
          <w:numId w:val="2"/>
        </w:numPr>
        <w:spacing w:before="40" w:after="40"/>
      </w:pPr>
      <w:r>
        <w:rPr>
          <w:rFonts w:ascii="Arial" w:cs="Arial" w:eastAsia="Arial" w:hAnsi="Arial"/>
          <w:sz w:val="22"/>
          <w:szCs w:val="22"/>
        </w:rPr>
        <w:t xml:space="preserve">Know why modules must never declare provider blocks</w:t>
      </w:r>
    </w:p>
    <w:p>
      <w:pPr>
        <w:pStyle w:val="ListParagraph"/>
        <w:numPr>
          <w:ilvl w:val="0"/>
          <w:numId w:val="2"/>
        </w:numPr>
        <w:spacing w:before="40" w:after="40"/>
      </w:pPr>
      <w:r>
        <w:rPr>
          <w:rFonts w:ascii="Arial" w:cs="Arial" w:eastAsia="Arial" w:hAnsi="Arial"/>
          <w:sz w:val="22"/>
          <w:szCs w:val="22"/>
        </w:rPr>
        <w:t xml:space="preserve">Understand module output interfaces — how values are exposed and consumed</w:t>
      </w:r>
    </w:p>
    <w:p>
      <w:pPr>
        <w:pStyle w:val="ListParagraph"/>
        <w:numPr>
          <w:ilvl w:val="0"/>
          <w:numId w:val="2"/>
        </w:numPr>
        <w:spacing w:before="40" w:after="40"/>
      </w:pPr>
      <w:r>
        <w:rPr>
          <w:rFonts w:ascii="Arial" w:cs="Arial" w:eastAsia="Arial" w:hAnsi="Arial"/>
          <w:sz w:val="22"/>
          <w:szCs w:val="22"/>
        </w:rPr>
        <w:t xml:space="preserve">Apply string interpolation for dynamic resource naming across environments</w:t>
      </w:r>
    </w:p>
    <w:p>
      <w:pPr>
        <w:pStyle w:val="ListParagraph"/>
        <w:numPr>
          <w:ilvl w:val="0"/>
          <w:numId w:val="2"/>
        </w:numPr>
        <w:spacing w:before="40" w:after="40"/>
      </w:pPr>
      <w:r>
        <w:rPr>
          <w:rFonts w:ascii="Arial" w:cs="Arial" w:eastAsia="Arial" w:hAnsi="Arial"/>
          <w:sz w:val="22"/>
          <w:szCs w:val="22"/>
        </w:rPr>
        <w:t xml:space="preserve">Deploy a complete module-based infrastructure to a live AWS account</w:t>
      </w:r>
    </w:p>
    <w:p>
      <w:pPr>
        <w:pStyle w:val="ListParagraph"/>
        <w:numPr>
          <w:ilvl w:val="0"/>
          <w:numId w:val="2"/>
        </w:numPr>
        <w:spacing w:before="40" w:after="40"/>
      </w:pPr>
      <w:r>
        <w:rPr>
          <w:rFonts w:ascii="Arial" w:cs="Arial" w:eastAsia="Arial" w:hAnsi="Arial"/>
          <w:sz w:val="22"/>
          <w:szCs w:val="22"/>
        </w:rPr>
        <w:t xml:space="preserve">Observe module namespace separation in Terraform state</w:t>
      </w:r>
    </w:p>
    <w:p>
      <w:pPr>
        <w:spacing w:before="100" w:after="100"/>
      </w:pPr>
      <w:r>
        <w:t xml:space="preserve"/>
      </w:r>
    </w:p>
    <w:p>
      <w:pPr>
        <w:pStyle w:val="Heading1"/>
        <w:spacing w:before="360" w:after="120"/>
      </w:pPr>
      <w:r>
        <w:rPr>
          <w:rFonts w:ascii="Arial" w:cs="Arial" w:eastAsia="Arial" w:hAnsi="Arial"/>
          <w:b/>
          <w:bCs/>
          <w:sz w:val="32"/>
          <w:szCs w:val="32"/>
        </w:rPr>
        <w:t xml:space="preserve">4. Core Concept — Terraform Modules</w:t>
      </w:r>
    </w:p>
    <w:p>
      <w:pPr>
        <w:pStyle w:val="Heading2"/>
        <w:spacing w:before="240" w:after="80"/>
      </w:pPr>
      <w:r>
        <w:rPr>
          <w:rFonts w:ascii="Arial" w:cs="Arial" w:eastAsia="Arial" w:hAnsi="Arial"/>
          <w:b/>
          <w:bCs/>
          <w:sz w:val="26"/>
          <w:szCs w:val="26"/>
        </w:rPr>
        <w:t xml:space="preserve">4.1 The Problem Modules Solve</w:t>
      </w:r>
    </w:p>
    <w:p>
      <w:pPr>
        <w:spacing w:before="60" w:after="60"/>
      </w:pPr>
      <w:r>
        <w:rPr>
          <w:rFonts w:ascii="Arial" w:cs="Arial" w:eastAsia="Arial" w:hAnsi="Arial"/>
          <w:sz w:val="22"/>
          <w:szCs w:val="22"/>
        </w:rPr>
        <w:t xml:space="preserve">Without modules, deploying identical infrastructure to multiple environments requires one of two poor approaches:</w:t>
      </w:r>
    </w:p>
    <w:p>
      <w:pPr>
        <w:pStyle w:val="ListParagraph"/>
        <w:numPr>
          <w:ilvl w:val="0"/>
          <w:numId w:val="2"/>
        </w:numPr>
        <w:spacing w:before="40" w:after="40"/>
      </w:pPr>
      <w:r>
        <w:rPr>
          <w:rFonts w:ascii="Arial" w:cs="Arial" w:eastAsia="Arial" w:hAnsi="Arial"/>
          <w:sz w:val="22"/>
          <w:szCs w:val="22"/>
        </w:rPr>
        <w:t xml:space="preserve">Copy-paste the entire configuration for each environment — creates drift risk when updates are made to one copy but not others</w:t>
      </w:r>
    </w:p>
    <w:p>
      <w:pPr>
        <w:pStyle w:val="ListParagraph"/>
        <w:numPr>
          <w:ilvl w:val="0"/>
          <w:numId w:val="2"/>
        </w:numPr>
        <w:spacing w:before="40" w:after="40"/>
      </w:pPr>
      <w:r>
        <w:rPr>
          <w:rFonts w:ascii="Arial" w:cs="Arial" w:eastAsia="Arial" w:hAnsi="Arial"/>
          <w:sz w:val="22"/>
          <w:szCs w:val="22"/>
        </w:rPr>
        <w:t xml:space="preserve">Complex conditional logic in a single file — unmaintainable at scale</w:t>
      </w:r>
    </w:p>
    <w:p>
      <w:pPr>
        <w:spacing w:before="100" w:after="100"/>
      </w:pPr>
      <w:r>
        <w:t xml:space="preserve"/>
      </w:r>
    </w:p>
    <w:p>
      <w:pPr>
        <w:spacing w:before="60" w:after="60"/>
      </w:pPr>
      <w:r>
        <w:rPr>
          <w:rFonts w:ascii="Arial" w:cs="Arial" w:eastAsia="Arial" w:hAnsi="Arial"/>
          <w:sz w:val="22"/>
          <w:szCs w:val="22"/>
        </w:rPr>
        <w:t xml:space="preserve">Modules solve this by packaging the infrastructure pattern once and calling it multiple times with different input values. The key mental model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Makes Reusable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VALUES within a single configuration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 PATTERNS across projects and environments</w:t>
            </w:r>
          </w:p>
        </w:tc>
      </w:tr>
    </w:tbl>
    <w:p>
      <w:pPr>
        <w:spacing w:before="100" w:after="100"/>
      </w:pPr>
      <w:r>
        <w:t xml:space="preserve"/>
      </w:r>
    </w:p>
    <w:p>
      <w:pPr>
        <w:pStyle w:val="Heading2"/>
        <w:spacing w:before="240" w:after="80"/>
      </w:pPr>
      <w:r>
        <w:rPr>
          <w:rFonts w:ascii="Arial" w:cs="Arial" w:eastAsia="Arial" w:hAnsi="Arial"/>
          <w:b/>
          <w:bCs/>
          <w:sz w:val="26"/>
          <w:szCs w:val="26"/>
        </w:rPr>
        <w:t xml:space="preserve">4.2 Module Directory Structure</w:t>
      </w:r>
    </w:p>
    <w:p>
      <w:pPr>
        <w:spacing w:before="60" w:after="60"/>
      </w:pPr>
      <w:r>
        <w:rPr>
          <w:rFonts w:ascii="Arial" w:cs="Arial" w:eastAsia="Arial" w:hAnsi="Arial"/>
          <w:sz w:val="22"/>
          <w:szCs w:val="22"/>
        </w:rPr>
        <w:t xml:space="preserve">The standard Terraform module project layout separates module implementation from environment callers:</w:t>
      </w:r>
    </w:p>
    <w:p>
      <w:pPr>
        <w:shd w:fill="F2F2F2" w:val="clear"/>
        <w:spacing w:before="40" w:after="40"/>
        <w:ind w:left="720"/>
      </w:pPr>
      <w:r>
        <w:rPr>
          <w:rFonts w:ascii="Courier New" w:cs="Courier New" w:eastAsia="Courier New" w:hAnsi="Courier New"/>
          <w:color w:val="1F3864"/>
          <w:sz w:val="18"/>
          <w:szCs w:val="18"/>
        </w:rPr>
        <w:t xml:space="preserve">aws-infrastructure/</w:t>
      </w:r>
    </w:p>
    <w:p>
      <w:pPr>
        <w:shd w:fill="F2F2F2" w:val="clear"/>
        <w:spacing w:before="40" w:after="40"/>
        <w:ind w:left="720"/>
      </w:pPr>
      <w:r>
        <w:rPr>
          <w:rFonts w:ascii="Courier New" w:cs="Courier New" w:eastAsia="Courier New" w:hAnsi="Courier New"/>
          <w:color w:val="1F3864"/>
          <w:sz w:val="18"/>
          <w:szCs w:val="18"/>
        </w:rPr>
        <w:t xml:space="preserve">├── modules/</w:t>
      </w:r>
    </w:p>
    <w:p>
      <w:pPr>
        <w:shd w:fill="F2F2F2" w:val="clear"/>
        <w:spacing w:before="40" w:after="40"/>
        <w:ind w:left="720"/>
      </w:pPr>
      <w:r>
        <w:rPr>
          <w:rFonts w:ascii="Courier New" w:cs="Courier New" w:eastAsia="Courier New" w:hAnsi="Courier New"/>
          <w:color w:val="1F3864"/>
          <w:sz w:val="18"/>
          <w:szCs w:val="18"/>
        </w:rPr>
        <w:t xml:space="preserve">│   └── vpc/</w:t>
      </w:r>
    </w:p>
    <w:p>
      <w:pPr>
        <w:shd w:fill="F2F2F2" w:val="clear"/>
        <w:spacing w:before="40" w:after="40"/>
        <w:ind w:left="720"/>
      </w:pPr>
      <w:r>
        <w:rPr>
          <w:rFonts w:ascii="Courier New" w:cs="Courier New" w:eastAsia="Courier New" w:hAnsi="Courier New"/>
          <w:color w:val="1F3864"/>
          <w:sz w:val="18"/>
          <w:szCs w:val="18"/>
        </w:rPr>
        <w:t xml:space="preserve">│       ├── main.tf        ← resources defined once</w:t>
      </w:r>
    </w:p>
    <w:p>
      <w:pPr>
        <w:shd w:fill="F2F2F2" w:val="clear"/>
        <w:spacing w:before="40" w:after="40"/>
        <w:ind w:left="720"/>
      </w:pPr>
      <w:r>
        <w:rPr>
          <w:rFonts w:ascii="Courier New" w:cs="Courier New" w:eastAsia="Courier New" w:hAnsi="Courier New"/>
          <w:color w:val="1F3864"/>
          <w:sz w:val="18"/>
          <w:szCs w:val="18"/>
        </w:rPr>
        <w:t xml:space="preserve">│       ├── variables.tf   ← inputs (no defaults in modules)</w:t>
      </w:r>
    </w:p>
    <w:p>
      <w:pPr>
        <w:shd w:fill="F2F2F2" w:val="clear"/>
        <w:spacing w:before="40" w:after="40"/>
        <w:ind w:left="720"/>
      </w:pPr>
      <w:r>
        <w:rPr>
          <w:rFonts w:ascii="Courier New" w:cs="Courier New" w:eastAsia="Courier New" w:hAnsi="Courier New"/>
          <w:color w:val="1F3864"/>
          <w:sz w:val="18"/>
          <w:szCs w:val="18"/>
        </w:rPr>
        <w:t xml:space="preserve">│       └── outputs.tf     ← exposed values</w:t>
      </w:r>
    </w:p>
    <w:p>
      <w:pPr>
        <w:shd w:fill="F2F2F2" w:val="clear"/>
        <w:spacing w:before="40" w:after="40"/>
        <w:ind w:left="720"/>
      </w:pPr>
      <w:r>
        <w:rPr>
          <w:rFonts w:ascii="Courier New" w:cs="Courier New" w:eastAsia="Courier New" w:hAnsi="Courier New"/>
          <w:color w:val="1F3864"/>
          <w:sz w:val="18"/>
          <w:szCs w:val="18"/>
        </w:rPr>
        <w:t xml:space="preserve">└── environments/</w:t>
      </w:r>
    </w:p>
    <w:p>
      <w:pPr>
        <w:shd w:fill="F2F2F2" w:val="clear"/>
        <w:spacing w:before="40" w:after="40"/>
        <w:ind w:left="720"/>
      </w:pPr>
      <w:r>
        <w:rPr>
          <w:rFonts w:ascii="Courier New" w:cs="Courier New" w:eastAsia="Courier New" w:hAnsi="Courier New"/>
          <w:color w:val="1F3864"/>
          <w:sz w:val="18"/>
          <w:szCs w:val="18"/>
        </w:rPr>
        <w:t xml:space="preserve">    ├── dev/</w:t>
      </w:r>
    </w:p>
    <w:p>
      <w:pPr>
        <w:shd w:fill="F2F2F2" w:val="clear"/>
        <w:spacing w:before="40" w:after="40"/>
        <w:ind w:left="720"/>
      </w:pPr>
      <w:r>
        <w:rPr>
          <w:rFonts w:ascii="Courier New" w:cs="Courier New" w:eastAsia="Courier New" w:hAnsi="Courier New"/>
          <w:color w:val="1F3864"/>
          <w:sz w:val="18"/>
          <w:szCs w:val="18"/>
        </w:rPr>
        <w:t xml:space="preserve">    │   └── main.tf        ← provider + module call only</w:t>
      </w:r>
    </w:p>
    <w:p>
      <w:pPr>
        <w:shd w:fill="F2F2F2" w:val="clear"/>
        <w:spacing w:before="40" w:after="40"/>
        <w:ind w:left="720"/>
      </w:pPr>
      <w:r>
        <w:rPr>
          <w:rFonts w:ascii="Courier New" w:cs="Courier New" w:eastAsia="Courier New" w:hAnsi="Courier New"/>
          <w:color w:val="1F3864"/>
          <w:sz w:val="18"/>
          <w:szCs w:val="18"/>
        </w:rPr>
        <w:t xml:space="preserve">    └── staging/</w:t>
      </w:r>
    </w:p>
    <w:p>
      <w:pPr>
        <w:shd w:fill="F2F2F2" w:val="clear"/>
        <w:spacing w:before="40" w:after="40"/>
        <w:ind w:left="720"/>
      </w:pPr>
      <w:r>
        <w:rPr>
          <w:rFonts w:ascii="Courier New" w:cs="Courier New" w:eastAsia="Courier New" w:hAnsi="Courier New"/>
          <w:color w:val="1F3864"/>
          <w:sz w:val="18"/>
          <w:szCs w:val="18"/>
        </w:rPr>
        <w:t xml:space="preserve">        └── main.tf        ← provider + module call only</w:t>
      </w:r>
    </w:p>
    <w:p>
      <w:pPr>
        <w:spacing w:before="100" w:after="100"/>
      </w:pPr>
      <w:r>
        <w:t xml:space="preserve"/>
      </w:r>
    </w:p>
    <w:p>
      <w:pPr>
        <w:pStyle w:val="Heading2"/>
        <w:spacing w:before="240" w:after="80"/>
      </w:pPr>
      <w:r>
        <w:rPr>
          <w:rFonts w:ascii="Arial" w:cs="Arial" w:eastAsia="Arial" w:hAnsi="Arial"/>
          <w:b/>
          <w:bCs/>
          <w:sz w:val="26"/>
          <w:szCs w:val="26"/>
        </w:rPr>
        <w:t xml:space="preserve">4.3 Module Call Syntax</w:t>
      </w:r>
    </w:p>
    <w:p>
      <w:pPr>
        <w:spacing w:before="60" w:after="60"/>
      </w:pPr>
      <w:r>
        <w:rPr>
          <w:rFonts w:ascii="Arial" w:cs="Arial" w:eastAsia="Arial" w:hAnsi="Arial"/>
          <w:sz w:val="22"/>
          <w:szCs w:val="22"/>
        </w:rPr>
        <w:t xml:space="preserve">A module is called using the module block. The source parameter points to the module directory:</w:t>
      </w:r>
    </w:p>
    <w:p>
      <w:pPr>
        <w:shd w:fill="F2F2F2" w:val="clear"/>
        <w:spacing w:before="40" w:after="40"/>
        <w:ind w:left="720"/>
      </w:pPr>
      <w:r>
        <w:rPr>
          <w:rFonts w:ascii="Courier New" w:cs="Courier New" w:eastAsia="Courier New" w:hAnsi="Courier New"/>
          <w:color w:val="1F3864"/>
          <w:sz w:val="18"/>
          <w:szCs w:val="18"/>
        </w:rPr>
        <w:t xml:space="preserve">module "vpc" {</w:t>
      </w:r>
    </w:p>
    <w:p>
      <w:pPr>
        <w:shd w:fill="F2F2F2" w:val="clear"/>
        <w:spacing w:before="40" w:after="40"/>
        <w:ind w:left="720"/>
      </w:pPr>
      <w:r>
        <w:rPr>
          <w:rFonts w:ascii="Courier New" w:cs="Courier New" w:eastAsia="Courier New" w:hAnsi="Courier New"/>
          <w:color w:val="1F3864"/>
          <w:sz w:val="18"/>
          <w:szCs w:val="18"/>
        </w:rPr>
        <w:t xml:space="preserve">  source      = "../../modules/vpc"</w:t>
      </w:r>
    </w:p>
    <w:p>
      <w:pPr>
        <w:shd w:fill="F2F2F2" w:val="clear"/>
        <w:spacing w:before="40" w:after="40"/>
        <w:ind w:left="720"/>
      </w:pPr>
      <w:r>
        <w:rPr>
          <w:rFonts w:ascii="Courier New" w:cs="Courier New" w:eastAsia="Courier New" w:hAnsi="Courier New"/>
          <w:color w:val="1F3864"/>
          <w:sz w:val="18"/>
          <w:szCs w:val="18"/>
        </w:rPr>
        <w:t xml:space="preserve">  environment = "dev"</w:t>
      </w:r>
    </w:p>
    <w:p>
      <w:pPr>
        <w:shd w:fill="F2F2F2" w:val="clear"/>
        <w:spacing w:before="40" w:after="40"/>
        <w:ind w:left="720"/>
      </w:pPr>
      <w:r>
        <w:rPr>
          <w:rFonts w:ascii="Courier New" w:cs="Courier New" w:eastAsia="Courier New" w:hAnsi="Courier New"/>
          <w:color w:val="1F3864"/>
          <w:sz w:val="18"/>
          <w:szCs w:val="18"/>
        </w:rPr>
        <w:t xml:space="preserve">  vpc_cidr    = "10.10.0.0/16"</w:t>
      </w:r>
    </w:p>
    <w:p>
      <w:pPr>
        <w:shd w:fill="F2F2F2" w:val="clear"/>
        <w:spacing w:before="40" w:after="40"/>
        <w:ind w:left="720"/>
      </w:pPr>
      <w:r>
        <w:rPr>
          <w:rFonts w:ascii="Courier New" w:cs="Courier New" w:eastAsia="Courier New" w:hAnsi="Courier New"/>
          <w:color w:val="1F3864"/>
          <w:sz w:val="18"/>
          <w:szCs w:val="18"/>
        </w:rPr>
        <w:t xml:space="preserve">  subnet_cidr = "10.10.1.0/24"</w:t>
      </w:r>
    </w:p>
    <w:p>
      <w:pPr>
        <w:shd w:fill="F2F2F2" w:val="clear"/>
        <w:spacing w:before="40" w:after="40"/>
        <w:ind w:left="720"/>
      </w:pPr>
      <w:r>
        <w:rPr>
          <w:rFonts w:ascii="Courier New" w:cs="Courier New" w:eastAsia="Courier New" w:hAnsi="Courier New"/>
          <w:color w:val="1F3864"/>
          <w:sz w:val="18"/>
          <w:szCs w:val="18"/>
        </w:rPr>
        <w:t xml:space="preserve">}</w:t>
      </w:r>
    </w:p>
    <w:p>
      <w:pPr>
        <w:spacing w:before="100" w:after="100"/>
      </w:pPr>
      <w:r>
        <w:t xml:space="preserve"/>
      </w:r>
    </w:p>
    <w:p>
      <w:pPr>
        <w:pStyle w:val="Heading2"/>
        <w:spacing w:before="240" w:after="80"/>
      </w:pPr>
      <w:r>
        <w:rPr>
          <w:rFonts w:ascii="Arial" w:cs="Arial" w:eastAsia="Arial" w:hAnsi="Arial"/>
          <w:b/>
          <w:bCs/>
          <w:sz w:val="26"/>
          <w:szCs w:val="26"/>
        </w:rPr>
        <w:t xml:space="preserve">4.4 Referencing Module Outputs</w:t>
      </w:r>
    </w:p>
    <w:p>
      <w:pPr>
        <w:spacing w:before="60" w:after="60"/>
      </w:pPr>
      <w:r>
        <w:rPr>
          <w:rFonts w:ascii="Arial" w:cs="Arial" w:eastAsia="Arial" w:hAnsi="Arial"/>
          <w:sz w:val="22"/>
          <w:szCs w:val="22"/>
        </w:rPr>
        <w:t xml:space="preserve">Once a module is called, its output values are accessed by the caller using the module prefix:</w:t>
      </w:r>
    </w:p>
    <w:p>
      <w:pPr>
        <w:shd w:fill="F2F2F2" w:val="clear"/>
        <w:spacing w:before="40" w:after="40"/>
        <w:ind w:left="720"/>
      </w:pPr>
      <w:r>
        <w:rPr>
          <w:rFonts w:ascii="Courier New" w:cs="Courier New" w:eastAsia="Courier New" w:hAnsi="Courier New"/>
          <w:color w:val="1F3864"/>
          <w:sz w:val="18"/>
          <w:szCs w:val="18"/>
        </w:rPr>
        <w:t xml:space="preserve">module.vpc.vpc_id        # accesses the vpc_id output from the vpc module</w:t>
      </w:r>
    </w:p>
    <w:p>
      <w:pPr>
        <w:shd w:fill="F2F2F2" w:val="clear"/>
        <w:spacing w:before="40" w:after="40"/>
        <w:ind w:left="720"/>
      </w:pPr>
      <w:r>
        <w:rPr>
          <w:rFonts w:ascii="Courier New" w:cs="Courier New" w:eastAsia="Courier New" w:hAnsi="Courier New"/>
          <w:color w:val="1F3864"/>
          <w:sz w:val="18"/>
          <w:szCs w:val="18"/>
        </w:rPr>
        <w:t xml:space="preserve">module.vpc.vpc_subnet_id # accesses the subnet ID output</w:t>
      </w:r>
    </w:p>
    <w:p>
      <w:pPr>
        <w:spacing w:before="60" w:after="60"/>
      </w:pPr>
      <w:r>
        <w:rPr>
          <w:rFonts w:ascii="Arial" w:cs="Arial" w:eastAsia="Arial" w:hAnsi="Arial"/>
          <w:sz w:val="22"/>
          <w:szCs w:val="22"/>
        </w:rPr>
        <w:t xml:space="preserve">This is different from inside the module, where resources reference each other directly without the module prefix.</w:t>
      </w:r>
    </w:p>
    <w:p>
      <w:pPr>
        <w:spacing w:before="100" w:after="100"/>
      </w:pPr>
      <w:r>
        <w:t xml:space="preserve"/>
      </w:r>
    </w:p>
    <w:p>
      <w:pPr>
        <w:pStyle w:val="Heading1"/>
        <w:spacing w:before="360" w:after="120"/>
      </w:pPr>
      <w:r>
        <w:rPr>
          <w:rFonts w:ascii="Arial" w:cs="Arial" w:eastAsia="Arial" w:hAnsi="Arial"/>
          <w:b/>
          <w:bCs/>
          <w:sz w:val="32"/>
          <w:szCs w:val="32"/>
        </w:rPr>
        <w:t xml:space="preserve">5. Critical Module Design Rules</w:t>
      </w:r>
    </w:p>
    <w:p>
      <w:pPr>
        <w:pStyle w:val="Heading2"/>
        <w:spacing w:before="240" w:after="80"/>
      </w:pPr>
      <w:r>
        <w:rPr>
          <w:rFonts w:ascii="Arial" w:cs="Arial" w:eastAsia="Arial" w:hAnsi="Arial"/>
          <w:b/>
          <w:bCs/>
          <w:sz w:val="26"/>
          <w:szCs w:val="26"/>
        </w:rPr>
        <w:t xml:space="preserve">5.1 Modules Must Never Declare Providers</w:t>
      </w:r>
    </w:p>
    <w:p>
      <w:pPr>
        <w:spacing w:before="60" w:after="60"/>
      </w:pPr>
      <w:r>
        <w:rPr>
          <w:rFonts w:ascii="Arial" w:cs="Arial" w:eastAsia="Arial" w:hAnsi="Arial"/>
          <w:sz w:val="22"/>
          <w:szCs w:val="22"/>
        </w:rPr>
        <w:t xml:space="preserve">This was a critical error corrected during the session. A provider block inside a module breaks the caller's control over which AWS account and region the module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Provider Behaviour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environments/dev/main.tf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block lives here — the caller owns it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modules/vpc/main.tf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provider block — inherited automatically from caller</w:t>
            </w:r>
          </w:p>
        </w:tc>
      </w:tr>
    </w:tbl>
    <w:p>
      <w:pPr>
        <w:spacing w:before="60" w:after="60"/>
      </w:pPr>
      <w:r>
        <w:rPr>
          <w:rFonts w:ascii="Arial" w:cs="Arial" w:eastAsia="Arial" w:hAnsi="Arial"/>
          <w:sz w:val="22"/>
          <w:szCs w:val="22"/>
        </w:rPr>
        <w:t xml:space="preserve">If a module declares its own provider, you lose the ability to target different accounts or regions per environment from the same module code. Provider inheritance is what makes modules truly portable.</w:t>
      </w:r>
    </w:p>
    <w:p>
      <w:pPr>
        <w:spacing w:before="100" w:after="100"/>
      </w:pPr>
      <w:r>
        <w:t xml:space="preserve"/>
      </w:r>
    </w:p>
    <w:p>
      <w:pPr>
        <w:pStyle w:val="Heading2"/>
        <w:spacing w:before="240" w:after="80"/>
      </w:pPr>
      <w:r>
        <w:rPr>
          <w:rFonts w:ascii="Arial" w:cs="Arial" w:eastAsia="Arial" w:hAnsi="Arial"/>
          <w:b/>
          <w:bCs/>
          <w:sz w:val="26"/>
          <w:szCs w:val="26"/>
        </w:rPr>
        <w:t xml:space="preserve">5.2 Module Variables Must Have No Defaults</w:t>
      </w:r>
    </w:p>
    <w:p>
      <w:pPr>
        <w:spacing w:before="60" w:after="60"/>
      </w:pPr>
      <w:r>
        <w:rPr>
          <w:rFonts w:ascii="Arial" w:cs="Arial" w:eastAsia="Arial" w:hAnsi="Arial"/>
          <w:sz w:val="22"/>
          <w:szCs w:val="22"/>
        </w:rPr>
        <w:t xml:space="preserve">Variables inside a module should declare no default values. Modules are called with explicit input values — defaults create hidden dependencies that are easy to miss. Every required value should be mandatory and explicit.</w:t>
      </w:r>
    </w:p>
    <w:p>
      <w:pPr>
        <w:spacing w:before="60" w:after="60"/>
      </w:pPr>
      <w:r>
        <w:rPr>
          <w:rFonts w:ascii="Arial" w:cs="Arial" w:eastAsia="Arial" w:hAnsi="Arial"/>
          <w:sz w:val="22"/>
          <w:szCs w:val="22"/>
        </w:rPr>
        <w:t xml:space="preserve">The three required attributes for module variables:</w:t>
      </w:r>
    </w:p>
    <w:p>
      <w:pPr>
        <w:pStyle w:val="ListParagraph"/>
        <w:numPr>
          <w:ilvl w:val="0"/>
          <w:numId w:val="2"/>
        </w:numPr>
        <w:spacing w:before="40" w:after="40"/>
      </w:pPr>
      <w:r>
        <w:rPr>
          <w:rFonts w:ascii="Arial" w:cs="Arial" w:eastAsia="Arial" w:hAnsi="Arial"/>
          <w:sz w:val="22"/>
          <w:szCs w:val="22"/>
        </w:rPr>
        <w:t xml:space="preserve">description — this is the public API documentation for engineers calling the module</w:t>
      </w:r>
    </w:p>
    <w:p>
      <w:pPr>
        <w:pStyle w:val="ListParagraph"/>
        <w:numPr>
          <w:ilvl w:val="0"/>
          <w:numId w:val="2"/>
        </w:numPr>
        <w:spacing w:before="40" w:after="40"/>
      </w:pPr>
      <w:r>
        <w:rPr>
          <w:rFonts w:ascii="Arial" w:cs="Arial" w:eastAsia="Arial" w:hAnsi="Arial"/>
          <w:sz w:val="22"/>
          <w:szCs w:val="22"/>
        </w:rPr>
        <w:t xml:space="preserve">type — enforces the expected data type</w:t>
      </w:r>
    </w:p>
    <w:p>
      <w:pPr>
        <w:pStyle w:val="ListParagraph"/>
        <w:numPr>
          <w:ilvl w:val="0"/>
          <w:numId w:val="2"/>
        </w:numPr>
        <w:spacing w:before="40" w:after="40"/>
      </w:pPr>
      <w:r>
        <w:rPr>
          <w:rFonts w:ascii="Arial" w:cs="Arial" w:eastAsia="Arial" w:hAnsi="Arial"/>
          <w:sz w:val="22"/>
          <w:szCs w:val="22"/>
        </w:rPr>
        <w:t xml:space="preserve">No default — forces callers to provide all values explicitly</w:t>
      </w:r>
    </w:p>
    <w:p>
      <w:pPr>
        <w:spacing w:before="100" w:after="100"/>
      </w:pPr>
      <w:r>
        <w:t xml:space="preserve"/>
      </w:r>
    </w:p>
    <w:p>
      <w:pPr>
        <w:pStyle w:val="Heading2"/>
        <w:spacing w:before="240" w:after="80"/>
      </w:pPr>
      <w:r>
        <w:rPr>
          <w:rFonts w:ascii="Arial" w:cs="Arial" w:eastAsia="Arial" w:hAnsi="Arial"/>
          <w:b/>
          <w:bCs/>
          <w:sz w:val="26"/>
          <w:szCs w:val="26"/>
        </w:rPr>
        <w:t xml:space="preserve">5.3 Environment Files Should Be Minimal</w:t>
      </w:r>
    </w:p>
    <w:p>
      <w:pPr>
        <w:spacing w:before="60" w:after="60"/>
      </w:pPr>
      <w:r>
        <w:rPr>
          <w:rFonts w:ascii="Arial" w:cs="Arial" w:eastAsia="Arial" w:hAnsi="Arial"/>
          <w:sz w:val="22"/>
          <w:szCs w:val="22"/>
        </w:rPr>
        <w:t xml:space="preserve">The calling environment file (environments/dev/main.tf) should contain only two things:</w:t>
      </w:r>
    </w:p>
    <w:p>
      <w:pPr>
        <w:pStyle w:val="ListParagraph"/>
        <w:numPr>
          <w:ilvl w:val="0"/>
          <w:numId w:val="2"/>
        </w:numPr>
        <w:spacing w:before="40" w:after="40"/>
      </w:pPr>
      <w:r>
        <w:rPr>
          <w:rFonts w:ascii="Arial" w:cs="Arial" w:eastAsia="Arial" w:hAnsi="Arial"/>
          <w:sz w:val="22"/>
          <w:szCs w:val="22"/>
        </w:rPr>
        <w:t xml:space="preserve">The provider configuration block</w:t>
      </w:r>
    </w:p>
    <w:p>
      <w:pPr>
        <w:pStyle w:val="ListParagraph"/>
        <w:numPr>
          <w:ilvl w:val="0"/>
          <w:numId w:val="2"/>
        </w:numPr>
        <w:spacing w:before="40" w:after="40"/>
      </w:pPr>
      <w:r>
        <w:rPr>
          <w:rFonts w:ascii="Arial" w:cs="Arial" w:eastAsia="Arial" w:hAnsi="Arial"/>
          <w:sz w:val="22"/>
          <w:szCs w:val="22"/>
        </w:rPr>
        <w:t xml:space="preserve">The module call with input values</w:t>
      </w:r>
    </w:p>
    <w:p>
      <w:pPr>
        <w:spacing w:before="60" w:after="60"/>
      </w:pPr>
      <w:r>
        <w:rPr>
          <w:rFonts w:ascii="Arial" w:cs="Arial" w:eastAsia="Arial" w:hAnsi="Arial"/>
          <w:sz w:val="22"/>
          <w:szCs w:val="22"/>
        </w:rPr>
        <w:t xml:space="preserve">All resource definitions belong inside the module. An environment file should be readable in 30 seconds. If resources appear in the environment file, they belong in the module instead.</w:t>
      </w:r>
    </w:p>
    <w:p>
      <w:pPr>
        <w:spacing w:before="100" w:after="100"/>
      </w:pPr>
      <w:r>
        <w:t xml:space="preserve"/>
      </w:r>
    </w:p>
    <w:p>
      <w:pPr>
        <w:pStyle w:val="Heading2"/>
        <w:spacing w:before="240" w:after="80"/>
      </w:pPr>
      <w:r>
        <w:rPr>
          <w:rFonts w:ascii="Arial" w:cs="Arial" w:eastAsia="Arial" w:hAnsi="Arial"/>
          <w:b/>
          <w:bCs/>
          <w:sz w:val="26"/>
          <w:szCs w:val="26"/>
        </w:rPr>
        <w:t xml:space="preserve">5.4 Source Path Is Not Environment-Specific</w:t>
      </w:r>
    </w:p>
    <w:p>
      <w:pPr>
        <w:spacing w:before="60" w:after="60"/>
      </w:pPr>
      <w:r>
        <w:rPr>
          <w:rFonts w:ascii="Arial" w:cs="Arial" w:eastAsia="Arial" w:hAnsi="Arial"/>
          <w:sz w:val="22"/>
          <w:szCs w:val="22"/>
        </w:rPr>
        <w:t xml:space="preserve">The source parameter in a module call is simply an address to Terraform code — it is not environment-aware. The same source path is used in both dev and staging. Environment is controlled entirely by the input variables passed to the module, not by the path.</w:t>
      </w:r>
    </w:p>
    <w:p>
      <w:pPr>
        <w:spacing w:before="100" w:after="100"/>
      </w:pPr>
      <w:r>
        <w:t xml:space="preserve"/>
      </w:r>
    </w:p>
    <w:p>
      <w:pPr>
        <w:pStyle w:val="Heading2"/>
        <w:spacing w:before="240" w:after="80"/>
      </w:pPr>
      <w:r>
        <w:rPr>
          <w:rFonts w:ascii="Arial" w:cs="Arial" w:eastAsia="Arial" w:hAnsi="Arial"/>
          <w:b/>
          <w:bCs/>
          <w:sz w:val="26"/>
          <w:szCs w:val="26"/>
        </w:rPr>
        <w:t xml:space="preserve">5.5 String Interpolation for Dynamic Naming</w:t>
      </w:r>
    </w:p>
    <w:p>
      <w:pPr>
        <w:spacing w:before="60" w:after="60"/>
      </w:pPr>
      <w:r>
        <w:rPr>
          <w:rFonts w:ascii="Arial" w:cs="Arial" w:eastAsia="Arial" w:hAnsi="Arial"/>
          <w:sz w:val="22"/>
          <w:szCs w:val="22"/>
        </w:rPr>
        <w:t xml:space="preserve">All resource names and Name tags within a module must use string interpolation to include the environment variable. Hardcoded environment strings break the reusability of the module:</w:t>
      </w:r>
    </w:p>
    <w:p>
      <w:pPr>
        <w:shd w:fill="F2F2F2" w:val="clear"/>
        <w:spacing w:before="40" w:after="40"/>
        <w:ind w:left="720"/>
      </w:pPr>
      <w:r>
        <w:rPr>
          <w:rFonts w:ascii="Courier New" w:cs="Courier New" w:eastAsia="Courier New" w:hAnsi="Courier New"/>
          <w:color w:val="1F3864"/>
          <w:sz w:val="18"/>
          <w:szCs w:val="18"/>
        </w:rPr>
        <w:t xml:space="preserve"># Wrong — hardcoded, breaks in staging</w:t>
      </w:r>
    </w:p>
    <w:p>
      <w:pPr>
        <w:shd w:fill="F2F2F2" w:val="clear"/>
        <w:spacing w:before="40" w:after="40"/>
        <w:ind w:left="720"/>
      </w:pPr>
      <w:r>
        <w:rPr>
          <w:rFonts w:ascii="Courier New" w:cs="Courier New" w:eastAsia="Courier New" w:hAnsi="Courier New"/>
          <w:color w:val="1F3864"/>
          <w:sz w:val="18"/>
          <w:szCs w:val="18"/>
        </w:rPr>
        <w:t xml:space="preserve">name = "default-sg-dev"</w:t>
      </w:r>
    </w:p>
    <w:p>
      <w:pPr>
        <w:shd w:fill="F2F2F2" w:val="clear"/>
        <w:spacing w:before="40" w:after="40"/>
        <w:ind w:left="720"/>
      </w:pPr>
      <w:r>
        <w:rPr>
          <w:rFonts w:ascii="Courier New" w:cs="Courier New" w:eastAsia="Courier New" w:hAnsi="Courier New"/>
          <w:color w:val="1F3864"/>
          <w:sz w:val="18"/>
          <w:szCs w:val="18"/>
        </w:rPr>
        <w:t xml:space="preserve"/>
      </w:r>
    </w:p>
    <w:p>
      <w:pPr>
        <w:shd w:fill="F2F2F2" w:val="clear"/>
        <w:spacing w:before="40" w:after="40"/>
        <w:ind w:left="720"/>
      </w:pPr>
      <w:r>
        <w:rPr>
          <w:rFonts w:ascii="Courier New" w:cs="Courier New" w:eastAsia="Courier New" w:hAnsi="Courier New"/>
          <w:color w:val="1F3864"/>
          <w:sz w:val="18"/>
          <w:szCs w:val="18"/>
        </w:rPr>
        <w:t xml:space="preserve"># Correct — dynamic, works across all environments</w:t>
      </w:r>
    </w:p>
    <w:p>
      <w:pPr>
        <w:shd w:fill="F2F2F2" w:val="clear"/>
        <w:spacing w:before="40" w:after="40"/>
        <w:ind w:left="720"/>
      </w:pPr>
      <w:r>
        <w:rPr>
          <w:rFonts w:ascii="Courier New" w:cs="Courier New" w:eastAsia="Courier New" w:hAnsi="Courier New"/>
          <w:color w:val="1F3864"/>
          <w:sz w:val="18"/>
          <w:szCs w:val="18"/>
        </w:rPr>
        <w:t xml:space="preserve">name = "default-sg-${var.environment}"</w:t>
      </w:r>
    </w:p>
    <w:p>
      <w:pPr>
        <w:spacing w:before="100" w:after="100"/>
      </w:pPr>
      <w:r>
        <w:t xml:space="preserve"/>
      </w:r>
    </w:p>
    <w:p>
      <w:pPr>
        <w:pStyle w:val="Heading1"/>
        <w:spacing w:before="360" w:after="120"/>
      </w:pPr>
      <w:r>
        <w:rPr>
          <w:rFonts w:ascii="Arial" w:cs="Arial" w:eastAsia="Arial" w:hAnsi="Arial"/>
          <w:b/>
          <w:bCs/>
          <w:sz w:val="32"/>
          <w:szCs w:val="32"/>
        </w:rPr>
        <w:t xml:space="preserve">6. Module Output Interface</w:t>
      </w:r>
    </w:p>
    <w:p>
      <w:pPr>
        <w:pStyle w:val="Heading2"/>
        <w:spacing w:before="240" w:after="80"/>
      </w:pPr>
      <w:r>
        <w:rPr>
          <w:rFonts w:ascii="Arial" w:cs="Arial" w:eastAsia="Arial" w:hAnsi="Arial"/>
          <w:b/>
          <w:bCs/>
          <w:sz w:val="26"/>
          <w:szCs w:val="26"/>
        </w:rPr>
        <w:t xml:space="preserve">6.1 Two-Sided Output Pattern</w:t>
      </w:r>
    </w:p>
    <w:p>
      <w:pPr>
        <w:spacing w:before="60" w:after="60"/>
      </w:pPr>
      <w:r>
        <w:rPr>
          <w:rFonts w:ascii="Arial" w:cs="Arial" w:eastAsia="Arial" w:hAnsi="Arial"/>
          <w:sz w:val="22"/>
          <w:szCs w:val="22"/>
        </w:rPr>
        <w:t xml:space="preserve">Module outputs work differently depending on which side of the module boundary the code lives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Syntax</w:t>
            </w:r>
          </w:p>
        </w:tc>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Inside modules/vpc/outputs.tf</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 aws_vpc.main.id</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exposes its own resource directly</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Inside environments/dev/main.tf</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 module.vpc.vpc_id</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Caller consumes the module's exposed output</w:t>
            </w:r>
          </w:p>
        </w:tc>
      </w:tr>
    </w:tbl>
    <w:p>
      <w:pPr>
        <w:spacing w:before="100" w:after="100"/>
      </w:pPr>
      <w:r>
        <w:t xml:space="preserve"/>
      </w:r>
    </w:p>
    <w:p>
      <w:pPr>
        <w:pStyle w:val="Heading2"/>
        <w:spacing w:before="240" w:after="80"/>
      </w:pPr>
      <w:r>
        <w:rPr>
          <w:rFonts w:ascii="Arial" w:cs="Arial" w:eastAsia="Arial" w:hAnsi="Arial"/>
          <w:b/>
          <w:bCs/>
          <w:sz w:val="26"/>
          <w:szCs w:val="26"/>
        </w:rPr>
        <w:t xml:space="preserve">6.2 Why Outputs Matter — Remote State</w:t>
      </w:r>
    </w:p>
    <w:p>
      <w:pPr>
        <w:spacing w:before="60" w:after="60"/>
      </w:pPr>
      <w:r>
        <w:rPr>
          <w:rFonts w:ascii="Arial" w:cs="Arial" w:eastAsia="Arial" w:hAnsi="Arial"/>
          <w:sz w:val="22"/>
          <w:szCs w:val="22"/>
        </w:rPr>
        <w:t xml:space="preserve">Module outputs are the interface that makes values accessible to external configurations. Two professional patterns for consuming outputs:</w:t>
      </w:r>
    </w:p>
    <w:p>
      <w:pPr>
        <w:pStyle w:val="ListParagraph"/>
        <w:numPr>
          <w:ilvl w:val="0"/>
          <w:numId w:val="2"/>
        </w:numPr>
        <w:spacing w:before="40" w:after="40"/>
      </w:pPr>
      <w:r>
        <w:rPr>
          <w:rFonts w:ascii="Arial" w:cs="Arial" w:eastAsia="Arial" w:hAnsi="Arial"/>
          <w:sz w:val="22"/>
          <w:szCs w:val="22"/>
        </w:rPr>
        <w:t xml:space="preserve">Direct module reference — used when infrastructure is managed in the same working directory</w:t>
      </w:r>
    </w:p>
    <w:p>
      <w:pPr>
        <w:pStyle w:val="ListParagraph"/>
        <w:numPr>
          <w:ilvl w:val="0"/>
          <w:numId w:val="2"/>
        </w:numPr>
        <w:spacing w:before="40" w:after="40"/>
      </w:pPr>
      <w:r>
        <w:rPr>
          <w:rFonts w:ascii="Arial" w:cs="Arial" w:eastAsia="Arial" w:hAnsi="Arial"/>
          <w:sz w:val="22"/>
          <w:szCs w:val="22"/>
        </w:rPr>
        <w:t xml:space="preserve">terraform_remote_state data source — used when a separate team owns the networking layer and another team needs to reference the VPC IDs for their EC2 or EKS deployment</w:t>
      </w:r>
    </w:p>
    <w:p>
      <w:pPr>
        <w:shd w:fill="F2F2F2" w:val="clear"/>
        <w:spacing w:before="40" w:after="40"/>
        <w:ind w:left="720"/>
      </w:pPr>
      <w:r>
        <w:rPr>
          <w:rFonts w:ascii="Courier New" w:cs="Courier New" w:eastAsia="Courier New" w:hAnsi="Courier New"/>
          <w:color w:val="1F3864"/>
          <w:sz w:val="18"/>
          <w:szCs w:val="18"/>
        </w:rPr>
        <w:t xml:space="preserve">data "terraform_remote_state" "vpc" {</w:t>
      </w:r>
    </w:p>
    <w:p>
      <w:pPr>
        <w:shd w:fill="F2F2F2" w:val="clear"/>
        <w:spacing w:before="40" w:after="40"/>
        <w:ind w:left="720"/>
      </w:pPr>
      <w:r>
        <w:rPr>
          <w:rFonts w:ascii="Courier New" w:cs="Courier New" w:eastAsia="Courier New" w:hAnsi="Courier New"/>
          <w:color w:val="1F3864"/>
          <w:sz w:val="18"/>
          <w:szCs w:val="18"/>
        </w:rPr>
        <w:t xml:space="preserve">  backend = "s3"</w:t>
      </w:r>
    </w:p>
    <w:p>
      <w:pPr>
        <w:shd w:fill="F2F2F2" w:val="clear"/>
        <w:spacing w:before="40" w:after="40"/>
        <w:ind w:left="720"/>
      </w:pPr>
      <w:r>
        <w:rPr>
          <w:rFonts w:ascii="Courier New" w:cs="Courier New" w:eastAsia="Courier New" w:hAnsi="Courier New"/>
          <w:color w:val="1F3864"/>
          <w:sz w:val="18"/>
          <w:szCs w:val="18"/>
        </w:rPr>
        <w:t xml:space="preserve">  config = {</w:t>
      </w:r>
    </w:p>
    <w:p>
      <w:pPr>
        <w:shd w:fill="F2F2F2" w:val="clear"/>
        <w:spacing w:before="40" w:after="40"/>
        <w:ind w:left="720"/>
      </w:pPr>
      <w:r>
        <w:rPr>
          <w:rFonts w:ascii="Courier New" w:cs="Courier New" w:eastAsia="Courier New" w:hAnsi="Courier New"/>
          <w:color w:val="1F3864"/>
          <w:sz w:val="18"/>
          <w:szCs w:val="18"/>
        </w:rPr>
        <w:t xml:space="preserve">    bucket = "my-terraform-state"</w:t>
      </w:r>
    </w:p>
    <w:p>
      <w:pPr>
        <w:shd w:fill="F2F2F2" w:val="clear"/>
        <w:spacing w:before="40" w:after="40"/>
        <w:ind w:left="720"/>
      </w:pPr>
      <w:r>
        <w:rPr>
          <w:rFonts w:ascii="Courier New" w:cs="Courier New" w:eastAsia="Courier New" w:hAnsi="Courier New"/>
          <w:color w:val="1F3864"/>
          <w:sz w:val="18"/>
          <w:szCs w:val="18"/>
        </w:rPr>
        <w:t xml:space="preserve">    key    = "dev/vpc/terraform.tfstate"</w:t>
      </w:r>
    </w:p>
    <w:p>
      <w:pPr>
        <w:shd w:fill="F2F2F2" w:val="clear"/>
        <w:spacing w:before="40" w:after="40"/>
        <w:ind w:left="720"/>
      </w:pPr>
      <w:r>
        <w:rPr>
          <w:rFonts w:ascii="Courier New" w:cs="Courier New" w:eastAsia="Courier New" w:hAnsi="Courier New"/>
          <w:color w:val="1F3864"/>
          <w:sz w:val="18"/>
          <w:szCs w:val="18"/>
        </w:rPr>
        <w:t xml:space="preserve">  }</w:t>
      </w:r>
    </w:p>
    <w:p>
      <w:pPr>
        <w:shd w:fill="F2F2F2" w:val="clear"/>
        <w:spacing w:before="40" w:after="40"/>
        <w:ind w:left="720"/>
      </w:pPr>
      <w:r>
        <w:rPr>
          <w:rFonts w:ascii="Courier New" w:cs="Courier New" w:eastAsia="Courier New" w:hAnsi="Courier New"/>
          <w:color w:val="1F3864"/>
          <w:sz w:val="18"/>
          <w:szCs w:val="18"/>
        </w:rPr>
        <w:t xml:space="preserve">}</w:t>
      </w:r>
    </w:p>
    <w:p>
      <w:pPr>
        <w:shd w:fill="F2F2F2" w:val="clear"/>
        <w:spacing w:before="40" w:after="40"/>
        <w:ind w:left="720"/>
      </w:pPr>
      <w:r>
        <w:rPr>
          <w:rFonts w:ascii="Courier New" w:cs="Courier New" w:eastAsia="Courier New" w:hAnsi="Courier New"/>
          <w:color w:val="1F3864"/>
          <w:sz w:val="18"/>
          <w:szCs w:val="18"/>
        </w:rPr>
        <w:t xml:space="preserve">subnet_id = data.terraform_remote_state.vpc.outputs.subnet_id</w:t>
      </w:r>
    </w:p>
    <w:p>
      <w:pPr>
        <w:spacing w:before="100" w:after="100"/>
      </w:pPr>
      <w:r>
        <w:t xml:space="preserve"/>
      </w:r>
    </w:p>
    <w:p>
      <w:pPr>
        <w:pStyle w:val="Heading1"/>
        <w:spacing w:before="360" w:after="120"/>
      </w:pPr>
      <w:r>
        <w:rPr>
          <w:rFonts w:ascii="Arial" w:cs="Arial" w:eastAsia="Arial" w:hAnsi="Arial"/>
          <w:b/>
          <w:bCs/>
          <w:sz w:val="32"/>
          <w:szCs w:val="32"/>
        </w:rPr>
        <w:t xml:space="preserve">7. Files Authored in Session 2</w:t>
      </w:r>
    </w:p>
    <w:p>
      <w:pPr>
        <w:pStyle w:val="Heading2"/>
        <w:spacing w:before="240" w:after="80"/>
      </w:pPr>
      <w:r>
        <w:rPr>
          <w:rFonts w:ascii="Arial" w:cs="Arial" w:eastAsia="Arial" w:hAnsi="Arial"/>
          <w:b/>
          <w:bCs/>
          <w:sz w:val="26"/>
          <w:szCs w:val="26"/>
        </w:rPr>
        <w:t xml:space="preserve">7.1 modules/vpc/variables.tf</w:t>
      </w:r>
    </w:p>
    <w:p>
      <w:pPr>
        <w:spacing w:before="60" w:after="60"/>
      </w:pPr>
      <w:r>
        <w:rPr>
          <w:rFonts w:ascii="Arial" w:cs="Arial" w:eastAsia="Arial" w:hAnsi="Arial"/>
          <w:sz w:val="22"/>
          <w:szCs w:val="22"/>
        </w:rPr>
        <w:t xml:space="preserve">Four module input variables declared with descriptions, types, and no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rPr>
          <w:tblHeader/>
        </w:trPr>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region where the VPC will be deployed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 environment name (e.g. dev, staging, production)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vpc_cidr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CIDR block for the VPC (e.g. 10.10.0.0/16)</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subnet_cidr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CIDR block for the primary workload subnet (must be a subset of vpc_cidr)</w:t>
            </w:r>
          </w:p>
        </w:tc>
      </w:tr>
    </w:tbl>
    <w:p>
      <w:pPr>
        <w:spacing w:before="100" w:after="100"/>
      </w:pPr>
      <w:r>
        <w:t xml:space="preserve"/>
      </w:r>
    </w:p>
    <w:p>
      <w:pPr>
        <w:pStyle w:val="Heading2"/>
        <w:spacing w:before="240" w:after="80"/>
      </w:pPr>
      <w:r>
        <w:rPr>
          <w:rFonts w:ascii="Arial" w:cs="Arial" w:eastAsia="Arial" w:hAnsi="Arial"/>
          <w:b/>
          <w:bCs/>
          <w:sz w:val="26"/>
          <w:szCs w:val="26"/>
        </w:rPr>
        <w:t xml:space="preserve">7.2 modules/vpc/main.tf</w:t>
      </w:r>
    </w:p>
    <w:p>
      <w:pPr>
        <w:spacing w:before="60" w:after="60"/>
      </w:pPr>
      <w:r>
        <w:rPr>
          <w:rFonts w:ascii="Arial" w:cs="Arial" w:eastAsia="Arial" w:hAnsi="Arial"/>
          <w:sz w:val="22"/>
          <w:szCs w:val="22"/>
        </w:rPr>
        <w:t xml:space="preserve">All AWS resources moved from the flat structure into the module. Key characteristics of the final version:</w:t>
      </w:r>
    </w:p>
    <w:p>
      <w:pPr>
        <w:pStyle w:val="ListParagraph"/>
        <w:numPr>
          <w:ilvl w:val="0"/>
          <w:numId w:val="2"/>
        </w:numPr>
        <w:spacing w:before="40" w:after="40"/>
      </w:pPr>
      <w:r>
        <w:rPr>
          <w:rFonts w:ascii="Arial" w:cs="Arial" w:eastAsia="Arial" w:hAnsi="Arial"/>
          <w:sz w:val="22"/>
          <w:szCs w:val="22"/>
        </w:rPr>
        <w:t xml:space="preserve">No provider block — inherited from calling environment</w:t>
      </w:r>
    </w:p>
    <w:p>
      <w:pPr>
        <w:pStyle w:val="ListParagraph"/>
        <w:numPr>
          <w:ilvl w:val="0"/>
          <w:numId w:val="2"/>
        </w:numPr>
        <w:spacing w:before="40" w:after="40"/>
      </w:pPr>
      <w:r>
        <w:rPr>
          <w:rFonts w:ascii="Arial" w:cs="Arial" w:eastAsia="Arial" w:hAnsi="Arial"/>
          <w:sz w:val="22"/>
          <w:szCs w:val="22"/>
        </w:rPr>
        <w:t xml:space="preserve">All resource Name attributes use string interpolation: "resource-name-${var.environment}"</w:t>
      </w:r>
    </w:p>
    <w:p>
      <w:pPr>
        <w:pStyle w:val="ListParagraph"/>
        <w:numPr>
          <w:ilvl w:val="0"/>
          <w:numId w:val="2"/>
        </w:numPr>
        <w:spacing w:before="40" w:after="40"/>
      </w:pPr>
      <w:r>
        <w:rPr>
          <w:rFonts w:ascii="Arial" w:cs="Arial" w:eastAsia="Arial" w:hAnsi="Arial"/>
          <w:sz w:val="22"/>
          <w:szCs w:val="22"/>
        </w:rPr>
        <w:t xml:space="preserve">All Name tags use the same interpolation pattern</w:t>
      </w:r>
    </w:p>
    <w:p>
      <w:pPr>
        <w:pStyle w:val="ListParagraph"/>
        <w:numPr>
          <w:ilvl w:val="0"/>
          <w:numId w:val="2"/>
        </w:numPr>
        <w:spacing w:before="40" w:after="40"/>
      </w:pPr>
      <w:r>
        <w:rPr>
          <w:rFonts w:ascii="Arial" w:cs="Arial" w:eastAsia="Arial" w:hAnsi="Arial"/>
          <w:sz w:val="22"/>
          <w:szCs w:val="22"/>
        </w:rPr>
        <w:t xml:space="preserve">Availability zone removed from subnet — AWS assigns automatically</w:t>
      </w:r>
    </w:p>
    <w:p>
      <w:pPr>
        <w:pStyle w:val="ListParagraph"/>
        <w:numPr>
          <w:ilvl w:val="0"/>
          <w:numId w:val="2"/>
        </w:numPr>
        <w:spacing w:before="40" w:after="40"/>
      </w:pPr>
      <w:r>
        <w:rPr>
          <w:rFonts w:ascii="Arial" w:cs="Arial" w:eastAsia="Arial" w:hAnsi="Arial"/>
          <w:sz w:val="22"/>
          <w:szCs w:val="22"/>
        </w:rPr>
        <w:t xml:space="preserve">Security group name uses dynamic interpolation: "default-sg-${var.environment}"</w:t>
      </w:r>
    </w:p>
    <w:p>
      <w:pPr>
        <w:spacing w:before="100" w:after="100"/>
      </w:pPr>
      <w:r>
        <w:t xml:space="preserve"/>
      </w:r>
    </w:p>
    <w:p>
      <w:pPr>
        <w:pStyle w:val="Heading2"/>
        <w:spacing w:before="240" w:after="80"/>
      </w:pPr>
      <w:r>
        <w:rPr>
          <w:rFonts w:ascii="Arial" w:cs="Arial" w:eastAsia="Arial" w:hAnsi="Arial"/>
          <w:b/>
          <w:bCs/>
          <w:sz w:val="26"/>
          <w:szCs w:val="26"/>
        </w:rPr>
        <w:t xml:space="preserve">7.3 modules/vpc/outputs.tf</w:t>
      </w:r>
    </w:p>
    <w:p>
      <w:pPr>
        <w:spacing w:before="60" w:after="60"/>
      </w:pPr>
      <w:r>
        <w:rPr>
          <w:rFonts w:ascii="Arial" w:cs="Arial" w:eastAsia="Arial" w:hAnsi="Arial"/>
          <w:sz w:val="22"/>
          <w:szCs w:val="22"/>
        </w:rPr>
        <w:t xml:space="preserve">Three values exposed through the module output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rPr>
          <w:tblHeader/>
        </w:trPr>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 Name</w:t>
            </w:r>
          </w:p>
        </w:tc>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 Source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vpc_id</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aws_vpc.main.id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ID of the primary VPC</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vpc_subnet_id</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aws_subnet.main_subnet.id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ID of the primary VPC subnet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security_group_id</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aws_security_group.default_sg.id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ID of the default security group</w:t>
            </w:r>
          </w:p>
        </w:tc>
      </w:tr>
    </w:tbl>
    <w:p>
      <w:pPr>
        <w:spacing w:before="100" w:after="100"/>
      </w:pPr>
      <w:r>
        <w:t xml:space="preserve"/>
      </w:r>
    </w:p>
    <w:p>
      <w:pPr>
        <w:pStyle w:val="Heading2"/>
        <w:spacing w:before="240" w:after="80"/>
      </w:pPr>
      <w:r>
        <w:rPr>
          <w:rFonts w:ascii="Arial" w:cs="Arial" w:eastAsia="Arial" w:hAnsi="Arial"/>
          <w:b/>
          <w:bCs/>
          <w:sz w:val="26"/>
          <w:szCs w:val="26"/>
        </w:rPr>
        <w:t xml:space="preserve">7.4 environments/dev/main.tf</w:t>
      </w:r>
    </w:p>
    <w:p>
      <w:pPr>
        <w:spacing w:before="60" w:after="60"/>
      </w:pPr>
      <w:r>
        <w:rPr>
          <w:rFonts w:ascii="Arial" w:cs="Arial" w:eastAsia="Arial" w:hAnsi="Arial"/>
          <w:sz w:val="22"/>
          <w:szCs w:val="22"/>
        </w:rPr>
        <w:t xml:space="preserve">Minimal calling environment file containing only provider configuration and module call:</w:t>
      </w:r>
    </w:p>
    <w:p>
      <w:pPr>
        <w:shd w:fill="F2F2F2" w:val="clear"/>
        <w:spacing w:before="40" w:after="40"/>
        <w:ind w:left="720"/>
      </w:pPr>
      <w:r>
        <w:rPr>
          <w:rFonts w:ascii="Courier New" w:cs="Courier New" w:eastAsia="Courier New" w:hAnsi="Courier New"/>
          <w:color w:val="1F3864"/>
          <w:sz w:val="18"/>
          <w:szCs w:val="18"/>
        </w:rPr>
        <w:t xml:space="preserve">provider "aws" {</w:t>
      </w:r>
    </w:p>
    <w:p>
      <w:pPr>
        <w:shd w:fill="F2F2F2" w:val="clear"/>
        <w:spacing w:before="40" w:after="40"/>
        <w:ind w:left="720"/>
      </w:pPr>
      <w:r>
        <w:rPr>
          <w:rFonts w:ascii="Courier New" w:cs="Courier New" w:eastAsia="Courier New" w:hAnsi="Courier New"/>
          <w:color w:val="1F3864"/>
          <w:sz w:val="18"/>
          <w:szCs w:val="18"/>
        </w:rPr>
        <w:t xml:space="preserve">  region = "us-east-1"</w:t>
      </w:r>
    </w:p>
    <w:p>
      <w:pPr>
        <w:shd w:fill="F2F2F2" w:val="clear"/>
        <w:spacing w:before="40" w:after="40"/>
        <w:ind w:left="720"/>
      </w:pPr>
      <w:r>
        <w:rPr>
          <w:rFonts w:ascii="Courier New" w:cs="Courier New" w:eastAsia="Courier New" w:hAnsi="Courier New"/>
          <w:color w:val="1F3864"/>
          <w:sz w:val="18"/>
          <w:szCs w:val="18"/>
        </w:rPr>
        <w:t xml:space="preserve">}</w:t>
      </w:r>
    </w:p>
    <w:p>
      <w:pPr>
        <w:shd w:fill="F2F2F2" w:val="clear"/>
        <w:spacing w:before="40" w:after="40"/>
        <w:ind w:left="720"/>
      </w:pPr>
      <w:r>
        <w:rPr>
          <w:rFonts w:ascii="Courier New" w:cs="Courier New" w:eastAsia="Courier New" w:hAnsi="Courier New"/>
          <w:color w:val="1F3864"/>
          <w:sz w:val="18"/>
          <w:szCs w:val="18"/>
        </w:rPr>
        <w:t xml:space="preserve"/>
      </w:r>
    </w:p>
    <w:p>
      <w:pPr>
        <w:shd w:fill="F2F2F2" w:val="clear"/>
        <w:spacing w:before="40" w:after="40"/>
        <w:ind w:left="720"/>
      </w:pPr>
      <w:r>
        <w:rPr>
          <w:rFonts w:ascii="Courier New" w:cs="Courier New" w:eastAsia="Courier New" w:hAnsi="Courier New"/>
          <w:color w:val="1F3864"/>
          <w:sz w:val="18"/>
          <w:szCs w:val="18"/>
        </w:rPr>
        <w:t xml:space="preserve">module "vpc" {</w:t>
      </w:r>
    </w:p>
    <w:p>
      <w:pPr>
        <w:shd w:fill="F2F2F2" w:val="clear"/>
        <w:spacing w:before="40" w:after="40"/>
        <w:ind w:left="720"/>
      </w:pPr>
      <w:r>
        <w:rPr>
          <w:rFonts w:ascii="Courier New" w:cs="Courier New" w:eastAsia="Courier New" w:hAnsi="Courier New"/>
          <w:color w:val="1F3864"/>
          <w:sz w:val="18"/>
          <w:szCs w:val="18"/>
        </w:rPr>
        <w:t xml:space="preserve">  source      = "../../modules/vpc"</w:t>
      </w:r>
    </w:p>
    <w:p>
      <w:pPr>
        <w:shd w:fill="F2F2F2" w:val="clear"/>
        <w:spacing w:before="40" w:after="40"/>
        <w:ind w:left="720"/>
      </w:pPr>
      <w:r>
        <w:rPr>
          <w:rFonts w:ascii="Courier New" w:cs="Courier New" w:eastAsia="Courier New" w:hAnsi="Courier New"/>
          <w:color w:val="1F3864"/>
          <w:sz w:val="18"/>
          <w:szCs w:val="18"/>
        </w:rPr>
        <w:t xml:space="preserve">  region      = "us-east-1"</w:t>
      </w:r>
    </w:p>
    <w:p>
      <w:pPr>
        <w:shd w:fill="F2F2F2" w:val="clear"/>
        <w:spacing w:before="40" w:after="40"/>
        <w:ind w:left="720"/>
      </w:pPr>
      <w:r>
        <w:rPr>
          <w:rFonts w:ascii="Courier New" w:cs="Courier New" w:eastAsia="Courier New" w:hAnsi="Courier New"/>
          <w:color w:val="1F3864"/>
          <w:sz w:val="18"/>
          <w:szCs w:val="18"/>
        </w:rPr>
        <w:t xml:space="preserve">  environment = "dev"</w:t>
      </w:r>
    </w:p>
    <w:p>
      <w:pPr>
        <w:shd w:fill="F2F2F2" w:val="clear"/>
        <w:spacing w:before="40" w:after="40"/>
        <w:ind w:left="720"/>
      </w:pPr>
      <w:r>
        <w:rPr>
          <w:rFonts w:ascii="Courier New" w:cs="Courier New" w:eastAsia="Courier New" w:hAnsi="Courier New"/>
          <w:color w:val="1F3864"/>
          <w:sz w:val="18"/>
          <w:szCs w:val="18"/>
        </w:rPr>
        <w:t xml:space="preserve">  vpc_cidr    = "10.10.0.0/16"</w:t>
      </w:r>
    </w:p>
    <w:p>
      <w:pPr>
        <w:shd w:fill="F2F2F2" w:val="clear"/>
        <w:spacing w:before="40" w:after="40"/>
        <w:ind w:left="720"/>
      </w:pPr>
      <w:r>
        <w:rPr>
          <w:rFonts w:ascii="Courier New" w:cs="Courier New" w:eastAsia="Courier New" w:hAnsi="Courier New"/>
          <w:color w:val="1F3864"/>
          <w:sz w:val="18"/>
          <w:szCs w:val="18"/>
        </w:rPr>
        <w:t xml:space="preserve">  subnet_cidr = "10.10.1.0/24"</w:t>
      </w:r>
    </w:p>
    <w:p>
      <w:pPr>
        <w:shd w:fill="F2F2F2" w:val="clear"/>
        <w:spacing w:before="40" w:after="40"/>
        <w:ind w:left="720"/>
      </w:pPr>
      <w:r>
        <w:rPr>
          <w:rFonts w:ascii="Courier New" w:cs="Courier New" w:eastAsia="Courier New" w:hAnsi="Courier New"/>
          <w:color w:val="1F3864"/>
          <w:sz w:val="18"/>
          <w:szCs w:val="18"/>
        </w:rPr>
        <w:t xml:space="preserve">}</w:t>
      </w:r>
    </w:p>
    <w:p>
      <w:pPr>
        <w:shd w:fill="F2F2F2" w:val="clear"/>
        <w:spacing w:before="40" w:after="40"/>
        <w:ind w:left="720"/>
      </w:pPr>
      <w:r>
        <w:rPr>
          <w:rFonts w:ascii="Courier New" w:cs="Courier New" w:eastAsia="Courier New" w:hAnsi="Courier New"/>
          <w:color w:val="1F3864"/>
          <w:sz w:val="18"/>
          <w:szCs w:val="18"/>
        </w:rPr>
        <w:t xml:space="preserve"/>
      </w:r>
    </w:p>
    <w:p>
      <w:pPr>
        <w:shd w:fill="F2F2F2" w:val="clear"/>
        <w:spacing w:before="40" w:after="40"/>
        <w:ind w:left="720"/>
      </w:pPr>
      <w:r>
        <w:rPr>
          <w:rFonts w:ascii="Courier New" w:cs="Courier New" w:eastAsia="Courier New" w:hAnsi="Courier New"/>
          <w:color w:val="1F3864"/>
          <w:sz w:val="18"/>
          <w:szCs w:val="18"/>
        </w:rPr>
        <w:t xml:space="preserve">output "vpc_id" {</w:t>
      </w:r>
    </w:p>
    <w:p>
      <w:pPr>
        <w:shd w:fill="F2F2F2" w:val="clear"/>
        <w:spacing w:before="40" w:after="40"/>
        <w:ind w:left="720"/>
      </w:pPr>
      <w:r>
        <w:rPr>
          <w:rFonts w:ascii="Courier New" w:cs="Courier New" w:eastAsia="Courier New" w:hAnsi="Courier New"/>
          <w:color w:val="1F3864"/>
          <w:sz w:val="18"/>
          <w:szCs w:val="18"/>
        </w:rPr>
        <w:t xml:space="preserve">  value = module.vpc.vpc_id</w:t>
      </w:r>
    </w:p>
    <w:p>
      <w:pPr>
        <w:shd w:fill="F2F2F2" w:val="clear"/>
        <w:spacing w:before="40" w:after="40"/>
        <w:ind w:left="720"/>
      </w:pPr>
      <w:r>
        <w:rPr>
          <w:rFonts w:ascii="Courier New" w:cs="Courier New" w:eastAsia="Courier New" w:hAnsi="Courier New"/>
          <w:color w:val="1F3864"/>
          <w:sz w:val="18"/>
          <w:szCs w:val="18"/>
        </w:rPr>
        <w:t xml:space="preserve">}</w:t>
      </w:r>
    </w:p>
    <w:p>
      <w:pPr>
        <w:shd w:fill="F2F2F2" w:val="clear"/>
        <w:spacing w:before="40" w:after="40"/>
        <w:ind w:left="720"/>
      </w:pPr>
      <w:r>
        <w:rPr>
          <w:rFonts w:ascii="Courier New" w:cs="Courier New" w:eastAsia="Courier New" w:hAnsi="Courier New"/>
          <w:color w:val="1F3864"/>
          <w:sz w:val="18"/>
          <w:szCs w:val="18"/>
        </w:rPr>
        <w:t xml:space="preserve">output "subnet_id" {</w:t>
      </w:r>
    </w:p>
    <w:p>
      <w:pPr>
        <w:shd w:fill="F2F2F2" w:val="clear"/>
        <w:spacing w:before="40" w:after="40"/>
        <w:ind w:left="720"/>
      </w:pPr>
      <w:r>
        <w:rPr>
          <w:rFonts w:ascii="Courier New" w:cs="Courier New" w:eastAsia="Courier New" w:hAnsi="Courier New"/>
          <w:color w:val="1F3864"/>
          <w:sz w:val="18"/>
          <w:szCs w:val="18"/>
        </w:rPr>
        <w:t xml:space="preserve">  value = module.vpc.vpc_subnet_id</w:t>
      </w:r>
    </w:p>
    <w:p>
      <w:pPr>
        <w:shd w:fill="F2F2F2" w:val="clear"/>
        <w:spacing w:before="40" w:after="40"/>
        <w:ind w:left="720"/>
      </w:pPr>
      <w:r>
        <w:rPr>
          <w:rFonts w:ascii="Courier New" w:cs="Courier New" w:eastAsia="Courier New" w:hAnsi="Courier New"/>
          <w:color w:val="1F3864"/>
          <w:sz w:val="18"/>
          <w:szCs w:val="18"/>
        </w:rPr>
        <w:t xml:space="preserve">}</w:t>
      </w:r>
    </w:p>
    <w:p>
      <w:pPr>
        <w:shd w:fill="F2F2F2" w:val="clear"/>
        <w:spacing w:before="40" w:after="40"/>
        <w:ind w:left="720"/>
      </w:pPr>
      <w:r>
        <w:rPr>
          <w:rFonts w:ascii="Courier New" w:cs="Courier New" w:eastAsia="Courier New" w:hAnsi="Courier New"/>
          <w:color w:val="1F3864"/>
          <w:sz w:val="18"/>
          <w:szCs w:val="18"/>
        </w:rPr>
        <w:t xml:space="preserve">output "security_group_id" {</w:t>
      </w:r>
    </w:p>
    <w:p>
      <w:pPr>
        <w:shd w:fill="F2F2F2" w:val="clear"/>
        <w:spacing w:before="40" w:after="40"/>
        <w:ind w:left="720"/>
      </w:pPr>
      <w:r>
        <w:rPr>
          <w:rFonts w:ascii="Courier New" w:cs="Courier New" w:eastAsia="Courier New" w:hAnsi="Courier New"/>
          <w:color w:val="1F3864"/>
          <w:sz w:val="18"/>
          <w:szCs w:val="18"/>
        </w:rPr>
        <w:t xml:space="preserve">  value = module.vpc.security_group_id</w:t>
      </w:r>
    </w:p>
    <w:p>
      <w:pPr>
        <w:shd w:fill="F2F2F2" w:val="clear"/>
        <w:spacing w:before="40" w:after="40"/>
        <w:ind w:left="720"/>
      </w:pPr>
      <w:r>
        <w:rPr>
          <w:rFonts w:ascii="Courier New" w:cs="Courier New" w:eastAsia="Courier New" w:hAnsi="Courier New"/>
          <w:color w:val="1F3864"/>
          <w:sz w:val="18"/>
          <w:szCs w:val="18"/>
        </w:rPr>
        <w:t xml:space="preserve">}</w:t>
      </w:r>
    </w:p>
    <w:p>
      <w:pPr>
        <w:spacing w:before="100" w:after="100"/>
      </w:pPr>
      <w:r>
        <w:t xml:space="preserve"/>
      </w:r>
    </w:p>
    <w:p>
      <w:pPr>
        <w:pStyle w:val="Heading1"/>
        <w:spacing w:before="360" w:after="120"/>
      </w:pPr>
      <w:r>
        <w:rPr>
          <w:rFonts w:ascii="Arial" w:cs="Arial" w:eastAsia="Arial" w:hAnsi="Arial"/>
          <w:b/>
          <w:bCs/>
          <w:sz w:val="32"/>
          <w:szCs w:val="32"/>
        </w:rPr>
        <w:t xml:space="preserve">8. Errors Made and Corrections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Round</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Correction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Opening recall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Said Terraform ~ (update) requires careful review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Clarified: - (destroy) is the critical symbol. Destroys are permanent and irreversible. Updates are routine.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Opening recall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Said vpc_id = aws_vpc.main.id 'stores a value'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Corrected: It is a dynamic reference resolved at apply time. Creates implicit dependency ordering — VPC must exist before subnet.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structure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Submitted environments/dev/main.tf before modules/vpc/variables.tf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variables must be defined before module call can work. Order of submission corrected.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variables.tf</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Submitted variables without description fields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modules, descriptions are mandatory public API documentation. Added descriptions to all four variables.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environments/dev/main.tf</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Included all raw VPC resources alongside the module call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error: would create two complete VPC environments. Environment files contain only provider + module call. Resources live in the module.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modules/vpc/main.tf</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Included provider block inside the module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Modules must never declare providers. Provider is inherited automatically from the calling environment. Removed provider block.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modules/vpc/main.tf</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Hardcoded 'dev' in security group name: "default-sg-dev"</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Applied string interpolation: "default-sg-${var.environment}"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modules/vpc/main.tf — v2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Applied interpolation but left 'dev' prefix: "default-sg-dev-${var.environment}"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Produced 'default-sg-dev-dev' in dev. Removed leftover prefix: "default-sg-${var.environment}"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modules/vpc/outputs.tf</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module.vpc.subnet_id in outputs.tf (circular reference)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Inside the module, reference own resources directly: aws_subnet.main_subnet.id. module.vpc prefix is for callers only.</w:t>
            </w:r>
          </w:p>
        </w:tc>
      </w:tr>
    </w:tbl>
    <w:p>
      <w:pPr>
        <w:spacing w:before="100" w:after="100"/>
      </w:pPr>
      <w:r>
        <w:t xml:space="preserve"/>
      </w:r>
    </w:p>
    <w:p>
      <w:pPr>
        <w:pStyle w:val="Heading1"/>
        <w:spacing w:before="360" w:after="120"/>
      </w:pPr>
      <w:r>
        <w:rPr>
          <w:rFonts w:ascii="Arial" w:cs="Arial" w:eastAsia="Arial" w:hAnsi="Arial"/>
          <w:b/>
          <w:bCs/>
          <w:sz w:val="32"/>
          <w:szCs w:val="32"/>
        </w:rPr>
        <w:t xml:space="preserve">9. Hands-On Workshop — Live Module Deployment</w:t>
      </w:r>
    </w:p>
    <w:p>
      <w:pPr>
        <w:pStyle w:val="Heading2"/>
        <w:spacing w:before="240" w:after="80"/>
      </w:pPr>
      <w:r>
        <w:rPr>
          <w:rFonts w:ascii="Arial" w:cs="Arial" w:eastAsia="Arial" w:hAnsi="Arial"/>
          <w:b/>
          <w:bCs/>
          <w:sz w:val="26"/>
          <w:szCs w:val="26"/>
        </w:rPr>
        <w:t xml:space="preserve">9.1 Workshop Overview</w:t>
      </w:r>
    </w:p>
    <w:p>
      <w:pPr>
        <w:spacing w:before="60" w:after="60"/>
      </w:pPr>
      <w:r>
        <w:rPr>
          <w:rFonts w:ascii="Arial" w:cs="Arial" w:eastAsia="Arial" w:hAnsi="Arial"/>
          <w:sz w:val="22"/>
          <w:szCs w:val="22"/>
        </w:rPr>
        <w:t xml:space="preserve">The Session 2 hands-on workshop deployed the complete module architecture to a live AWS account, demonstrating the full lifecycle of module-based infrastructure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Workshop Detail</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Directory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C:\terraform-workshop-s2\environments\dev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Region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us-east-1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Terraform 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v1.14.5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Provider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hashicorp/aws v6.33.0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Module-based (modules/vpc called from environments/dev)</w:t>
            </w:r>
          </w:p>
        </w:tc>
      </w:tr>
    </w:tbl>
    <w:p>
      <w:pPr>
        <w:spacing w:before="100" w:after="100"/>
      </w:pPr>
      <w:r>
        <w:t xml:space="preserve"/>
      </w:r>
    </w:p>
    <w:p>
      <w:pPr>
        <w:pStyle w:val="Heading2"/>
        <w:spacing w:before="240" w:after="80"/>
      </w:pPr>
      <w:r>
        <w:rPr>
          <w:rFonts w:ascii="Arial" w:cs="Arial" w:eastAsia="Arial" w:hAnsi="Arial"/>
          <w:b/>
          <w:bCs/>
          <w:sz w:val="26"/>
          <w:szCs w:val="26"/>
        </w:rPr>
        <w:t xml:space="preserve">9.2 Project Structure Created</w:t>
      </w:r>
    </w:p>
    <w:p>
      <w:pPr>
        <w:shd w:fill="F2F2F2" w:val="clear"/>
        <w:spacing w:before="40" w:after="40"/>
        <w:ind w:left="720"/>
      </w:pPr>
      <w:r>
        <w:rPr>
          <w:rFonts w:ascii="Courier New" w:cs="Courier New" w:eastAsia="Courier New" w:hAnsi="Courier New"/>
          <w:color w:val="1F3864"/>
          <w:sz w:val="18"/>
          <w:szCs w:val="18"/>
        </w:rPr>
        <w:t xml:space="preserve">C:\terraform-workshop-s2\</w:t>
      </w:r>
    </w:p>
    <w:p>
      <w:pPr>
        <w:shd w:fill="F2F2F2" w:val="clear"/>
        <w:spacing w:before="40" w:after="40"/>
        <w:ind w:left="720"/>
      </w:pPr>
      <w:r>
        <w:rPr>
          <w:rFonts w:ascii="Courier New" w:cs="Courier New" w:eastAsia="Courier New" w:hAnsi="Courier New"/>
          <w:color w:val="1F3864"/>
          <w:sz w:val="18"/>
          <w:szCs w:val="18"/>
        </w:rPr>
        <w:t xml:space="preserve">├── modules\</w:t>
      </w:r>
    </w:p>
    <w:p>
      <w:pPr>
        <w:shd w:fill="F2F2F2" w:val="clear"/>
        <w:spacing w:before="40" w:after="40"/>
        <w:ind w:left="720"/>
      </w:pPr>
      <w:r>
        <w:rPr>
          <w:rFonts w:ascii="Courier New" w:cs="Courier New" w:eastAsia="Courier New" w:hAnsi="Courier New"/>
          <w:color w:val="1F3864"/>
          <w:sz w:val="18"/>
          <w:szCs w:val="18"/>
        </w:rPr>
        <w:t xml:space="preserve">│   └── vpc\</w:t>
      </w:r>
    </w:p>
    <w:p>
      <w:pPr>
        <w:shd w:fill="F2F2F2" w:val="clear"/>
        <w:spacing w:before="40" w:after="40"/>
        <w:ind w:left="720"/>
      </w:pPr>
      <w:r>
        <w:rPr>
          <w:rFonts w:ascii="Courier New" w:cs="Courier New" w:eastAsia="Courier New" w:hAnsi="Courier New"/>
          <w:color w:val="1F3864"/>
          <w:sz w:val="18"/>
          <w:szCs w:val="18"/>
        </w:rPr>
        <w:t xml:space="preserve">│       ├── main.tf</w:t>
      </w:r>
    </w:p>
    <w:p>
      <w:pPr>
        <w:shd w:fill="F2F2F2" w:val="clear"/>
        <w:spacing w:before="40" w:after="40"/>
        <w:ind w:left="720"/>
      </w:pPr>
      <w:r>
        <w:rPr>
          <w:rFonts w:ascii="Courier New" w:cs="Courier New" w:eastAsia="Courier New" w:hAnsi="Courier New"/>
          <w:color w:val="1F3864"/>
          <w:sz w:val="18"/>
          <w:szCs w:val="18"/>
        </w:rPr>
        <w:t xml:space="preserve">│       ├── variables.tf</w:t>
      </w:r>
    </w:p>
    <w:p>
      <w:pPr>
        <w:shd w:fill="F2F2F2" w:val="clear"/>
        <w:spacing w:before="40" w:after="40"/>
        <w:ind w:left="720"/>
      </w:pPr>
      <w:r>
        <w:rPr>
          <w:rFonts w:ascii="Courier New" w:cs="Courier New" w:eastAsia="Courier New" w:hAnsi="Courier New"/>
          <w:color w:val="1F3864"/>
          <w:sz w:val="18"/>
          <w:szCs w:val="18"/>
        </w:rPr>
        <w:t xml:space="preserve">│       └── outputs.tf</w:t>
      </w:r>
    </w:p>
    <w:p>
      <w:pPr>
        <w:shd w:fill="F2F2F2" w:val="clear"/>
        <w:spacing w:before="40" w:after="40"/>
        <w:ind w:left="720"/>
      </w:pPr>
      <w:r>
        <w:rPr>
          <w:rFonts w:ascii="Courier New" w:cs="Courier New" w:eastAsia="Courier New" w:hAnsi="Courier New"/>
          <w:color w:val="1F3864"/>
          <w:sz w:val="18"/>
          <w:szCs w:val="18"/>
        </w:rPr>
        <w:t xml:space="preserve">└── environments\</w:t>
      </w:r>
    </w:p>
    <w:p>
      <w:pPr>
        <w:shd w:fill="F2F2F2" w:val="clear"/>
        <w:spacing w:before="40" w:after="40"/>
        <w:ind w:left="720"/>
      </w:pPr>
      <w:r>
        <w:rPr>
          <w:rFonts w:ascii="Courier New" w:cs="Courier New" w:eastAsia="Courier New" w:hAnsi="Courier New"/>
          <w:color w:val="1F3864"/>
          <w:sz w:val="18"/>
          <w:szCs w:val="18"/>
        </w:rPr>
        <w:t xml:space="preserve">    └── dev\</w:t>
      </w:r>
    </w:p>
    <w:p>
      <w:pPr>
        <w:shd w:fill="F2F2F2" w:val="clear"/>
        <w:spacing w:before="40" w:after="40"/>
        <w:ind w:left="720"/>
      </w:pPr>
      <w:r>
        <w:rPr>
          <w:rFonts w:ascii="Courier New" w:cs="Courier New" w:eastAsia="Courier New" w:hAnsi="Courier New"/>
          <w:color w:val="1F3864"/>
          <w:sz w:val="18"/>
          <w:szCs w:val="18"/>
        </w:rPr>
        <w:t xml:space="preserve">        └── main.tf</w:t>
      </w:r>
    </w:p>
    <w:p>
      <w:pPr>
        <w:spacing w:before="100" w:after="100"/>
      </w:pPr>
      <w:r>
        <w:t xml:space="preserve"/>
      </w:r>
    </w:p>
    <w:p>
      <w:pPr>
        <w:pStyle w:val="Heading2"/>
        <w:spacing w:before="240" w:after="80"/>
      </w:pPr>
      <w:r>
        <w:rPr>
          <w:rFonts w:ascii="Arial" w:cs="Arial" w:eastAsia="Arial" w:hAnsi="Arial"/>
          <w:b/>
          <w:bCs/>
          <w:sz w:val="26"/>
          <w:szCs w:val="26"/>
        </w:rPr>
        <w:t xml:space="preserve">9.3 terraform init — Module Initialisation</w:t>
      </w:r>
    </w:p>
    <w:p>
      <w:pPr>
        <w:spacing w:before="60" w:after="60"/>
      </w:pPr>
      <w:r>
        <w:rPr>
          <w:rFonts w:ascii="Arial" w:cs="Arial" w:eastAsia="Arial" w:hAnsi="Arial"/>
          <w:sz w:val="22"/>
          <w:szCs w:val="22"/>
        </w:rPr>
        <w:t xml:space="preserve">terraform init was executed from environments\dev — the entry point of the module architecture. Key output:</w:t>
      </w:r>
    </w:p>
    <w:p>
      <w:pPr>
        <w:shd w:fill="F2F2F2" w:val="clear"/>
        <w:spacing w:before="40" w:after="40"/>
        <w:ind w:left="720"/>
      </w:pPr>
      <w:r>
        <w:rPr>
          <w:rFonts w:ascii="Courier New" w:cs="Courier New" w:eastAsia="Courier New" w:hAnsi="Courier New"/>
          <w:color w:val="1F3864"/>
          <w:sz w:val="18"/>
          <w:szCs w:val="18"/>
        </w:rPr>
        <w:t xml:space="preserve">Initializing modules...</w:t>
      </w:r>
    </w:p>
    <w:p>
      <w:pPr>
        <w:shd w:fill="F2F2F2" w:val="clear"/>
        <w:spacing w:before="40" w:after="40"/>
        <w:ind w:left="720"/>
      </w:pPr>
      <w:r>
        <w:rPr>
          <w:rFonts w:ascii="Courier New" w:cs="Courier New" w:eastAsia="Courier New" w:hAnsi="Courier New"/>
          <w:color w:val="1F3864"/>
          <w:sz w:val="18"/>
          <w:szCs w:val="18"/>
        </w:rPr>
        <w:t xml:space="preserve">- vpc in ..\..\modules\vpc</w:t>
      </w:r>
    </w:p>
    <w:p>
      <w:pPr>
        <w:shd w:fill="F2F2F2" w:val="clear"/>
        <w:spacing w:before="40" w:after="40"/>
        <w:ind w:left="720"/>
      </w:pPr>
      <w:r>
        <w:rPr>
          <w:rFonts w:ascii="Courier New" w:cs="Courier New" w:eastAsia="Courier New" w:hAnsi="Courier New"/>
          <w:color w:val="1F3864"/>
          <w:sz w:val="18"/>
          <w:szCs w:val="18"/>
        </w:rPr>
        <w:t xml:space="preserve">Installing hashicorp/aws v6.33.0...</w:t>
      </w:r>
    </w:p>
    <w:p>
      <w:pPr>
        <w:shd w:fill="F2F2F2" w:val="clear"/>
        <w:spacing w:before="40" w:after="40"/>
        <w:ind w:left="720"/>
      </w:pPr>
      <w:r>
        <w:rPr>
          <w:rFonts w:ascii="Courier New" w:cs="Courier New" w:eastAsia="Courier New" w:hAnsi="Courier New"/>
          <w:color w:val="1F3864"/>
          <w:sz w:val="18"/>
          <w:szCs w:val="18"/>
        </w:rPr>
        <w:t xml:space="preserve">Terraform has been successfully initialized!</w:t>
      </w:r>
    </w:p>
    <w:p>
      <w:pPr>
        <w:spacing w:before="60" w:after="60"/>
      </w:pPr>
      <w:r>
        <w:rPr>
          <w:rFonts w:ascii="Arial" w:cs="Arial" w:eastAsia="Arial" w:hAnsi="Arial"/>
          <w:sz w:val="22"/>
          <w:szCs w:val="22"/>
        </w:rPr>
        <w:t xml:space="preserve">The 'Initializing modules...' line is the critical difference from Session 1 — Terraform found and registered the local module before downloading the provider.</w:t>
      </w:r>
    </w:p>
    <w:p>
      <w:pPr>
        <w:spacing w:before="100" w:after="100"/>
      </w:pPr>
      <w:r>
        <w:t xml:space="preserve"/>
      </w:r>
    </w:p>
    <w:p>
      <w:pPr>
        <w:pStyle w:val="Heading2"/>
        <w:spacing w:before="240" w:after="80"/>
      </w:pPr>
      <w:r>
        <w:rPr>
          <w:rFonts w:ascii="Arial" w:cs="Arial" w:eastAsia="Arial" w:hAnsi="Arial"/>
          <w:b/>
          <w:bCs/>
          <w:sz w:val="26"/>
          <w:szCs w:val="26"/>
        </w:rPr>
        <w:t xml:space="preserve">9.4 terraform plan — Module Prefix Confirmed</w:t>
      </w:r>
    </w:p>
    <w:p>
      <w:pPr>
        <w:spacing w:before="60" w:after="60"/>
      </w:pPr>
      <w:r>
        <w:rPr>
          <w:rFonts w:ascii="Arial" w:cs="Arial" w:eastAsia="Arial" w:hAnsi="Arial"/>
          <w:sz w:val="22"/>
          <w:szCs w:val="22"/>
        </w:rPr>
        <w:t xml:space="preserve">Clean plan confirmed. All 9 resources showed the module.vpc. prefix:</w:t>
      </w:r>
    </w:p>
    <w:p>
      <w:pPr>
        <w:shd w:fill="F2F2F2" w:val="clear"/>
        <w:spacing w:before="40" w:after="40"/>
        <w:ind w:left="720"/>
      </w:pPr>
      <w:r>
        <w:rPr>
          <w:rFonts w:ascii="Courier New" w:cs="Courier New" w:eastAsia="Courier New" w:hAnsi="Courier New"/>
          <w:color w:val="1F3864"/>
          <w:sz w:val="18"/>
          <w:szCs w:val="18"/>
        </w:rPr>
        <w:t xml:space="preserve">module.vpc.aws_vpc.main will be created</w:t>
      </w:r>
    </w:p>
    <w:p>
      <w:pPr>
        <w:shd w:fill="F2F2F2" w:val="clear"/>
        <w:spacing w:before="40" w:after="40"/>
        <w:ind w:left="720"/>
      </w:pPr>
      <w:r>
        <w:rPr>
          <w:rFonts w:ascii="Courier New" w:cs="Courier New" w:eastAsia="Courier New" w:hAnsi="Courier New"/>
          <w:color w:val="1F3864"/>
          <w:sz w:val="18"/>
          <w:szCs w:val="18"/>
        </w:rPr>
        <w:t xml:space="preserve">module.vpc.aws_subnet.main_subnet will be created</w:t>
      </w:r>
    </w:p>
    <w:p>
      <w:pPr>
        <w:shd w:fill="F2F2F2" w:val="clear"/>
        <w:spacing w:before="40" w:after="40"/>
        <w:ind w:left="720"/>
      </w:pPr>
      <w:r>
        <w:rPr>
          <w:rFonts w:ascii="Courier New" w:cs="Courier New" w:eastAsia="Courier New" w:hAnsi="Courier New"/>
          <w:color w:val="1F3864"/>
          <w:sz w:val="18"/>
          <w:szCs w:val="18"/>
        </w:rPr>
        <w:t xml:space="preserve">module.vpc.aws_internet_gateway.gw will be created</w:t>
      </w:r>
    </w:p>
    <w:p>
      <w:pPr>
        <w:shd w:fill="F2F2F2" w:val="clear"/>
        <w:spacing w:before="40" w:after="40"/>
        <w:ind w:left="720"/>
      </w:pPr>
      <w:r>
        <w:rPr>
          <w:rFonts w:ascii="Courier New" w:cs="Courier New" w:eastAsia="Courier New" w:hAnsi="Courier New"/>
          <w:color w:val="1F3864"/>
          <w:sz w:val="18"/>
          <w:szCs w:val="18"/>
        </w:rPr>
        <w:t xml:space="preserve">...</w:t>
      </w:r>
    </w:p>
    <w:p>
      <w:pPr>
        <w:shd w:fill="F2F2F2" w:val="clear"/>
        <w:spacing w:before="40" w:after="40"/>
        <w:ind w:left="720"/>
      </w:pPr>
      <w:r>
        <w:rPr>
          <w:rFonts w:ascii="Courier New" w:cs="Courier New" w:eastAsia="Courier New" w:hAnsi="Courier New"/>
          <w:color w:val="1F3864"/>
          <w:sz w:val="18"/>
          <w:szCs w:val="18"/>
        </w:rPr>
        <w:t xml:space="preserve">Plan: 9 to add, 0 to change, 0 to destroy.</w:t>
      </w:r>
    </w:p>
    <w:p>
      <w:pPr>
        <w:shd w:fill="F2F2F2" w:val="clear"/>
        <w:spacing w:before="40" w:after="40"/>
        <w:ind w:left="720"/>
      </w:pPr>
      <w:r>
        <w:rPr>
          <w:rFonts w:ascii="Courier New" w:cs="Courier New" w:eastAsia="Courier New" w:hAnsi="Courier New"/>
          <w:color w:val="1F3864"/>
          <w:sz w:val="18"/>
          <w:szCs w:val="18"/>
        </w:rPr>
        <w:t xml:space="preserve"/>
      </w:r>
    </w:p>
    <w:p>
      <w:pPr>
        <w:shd w:fill="F2F2F2" w:val="clear"/>
        <w:spacing w:before="40" w:after="40"/>
        <w:ind w:left="720"/>
      </w:pPr>
      <w:r>
        <w:rPr>
          <w:rFonts w:ascii="Courier New" w:cs="Courier New" w:eastAsia="Courier New" w:hAnsi="Courier New"/>
          <w:color w:val="1F3864"/>
          <w:sz w:val="18"/>
          <w:szCs w:val="18"/>
        </w:rPr>
        <w:t xml:space="preserve">Changes to Outputs:</w:t>
      </w:r>
    </w:p>
    <w:p>
      <w:pPr>
        <w:shd w:fill="F2F2F2" w:val="clear"/>
        <w:spacing w:before="40" w:after="40"/>
        <w:ind w:left="720"/>
      </w:pPr>
      <w:r>
        <w:rPr>
          <w:rFonts w:ascii="Courier New" w:cs="Courier New" w:eastAsia="Courier New" w:hAnsi="Courier New"/>
          <w:color w:val="1F3864"/>
          <w:sz w:val="18"/>
          <w:szCs w:val="18"/>
        </w:rPr>
        <w:t xml:space="preserve">  + security_group_id = (known after apply)</w:t>
      </w:r>
    </w:p>
    <w:p>
      <w:pPr>
        <w:shd w:fill="F2F2F2" w:val="clear"/>
        <w:spacing w:before="40" w:after="40"/>
        <w:ind w:left="720"/>
      </w:pPr>
      <w:r>
        <w:rPr>
          <w:rFonts w:ascii="Courier New" w:cs="Courier New" w:eastAsia="Courier New" w:hAnsi="Courier New"/>
          <w:color w:val="1F3864"/>
          <w:sz w:val="18"/>
          <w:szCs w:val="18"/>
        </w:rPr>
        <w:t xml:space="preserve">  + subnet_id         = (known after apply)</w:t>
      </w:r>
    </w:p>
    <w:p>
      <w:pPr>
        <w:shd w:fill="F2F2F2" w:val="clear"/>
        <w:spacing w:before="40" w:after="40"/>
        <w:ind w:left="720"/>
      </w:pPr>
      <w:r>
        <w:rPr>
          <w:rFonts w:ascii="Courier New" w:cs="Courier New" w:eastAsia="Courier New" w:hAnsi="Courier New"/>
          <w:color w:val="1F3864"/>
          <w:sz w:val="18"/>
          <w:szCs w:val="18"/>
        </w:rPr>
        <w:t xml:space="preserve">  + vpc_id            = (known after apply)</w:t>
      </w:r>
    </w:p>
    <w:p>
      <w:pPr>
        <w:spacing w:before="100" w:after="100"/>
      </w:pPr>
      <w:r>
        <w:t xml:space="preserve"/>
      </w:r>
    </w:p>
    <w:p>
      <w:pPr>
        <w:pStyle w:val="Heading2"/>
        <w:spacing w:before="240" w:after="80"/>
      </w:pPr>
      <w:r>
        <w:rPr>
          <w:rFonts w:ascii="Arial" w:cs="Arial" w:eastAsia="Arial" w:hAnsi="Arial"/>
          <w:b/>
          <w:bCs/>
          <w:sz w:val="26"/>
          <w:szCs w:val="26"/>
        </w:rPr>
        <w:t xml:space="preserve">9.5 terraform apply — Real AWS Resources</w:t>
      </w:r>
    </w:p>
    <w:p>
      <w:pPr>
        <w:spacing w:before="60" w:after="60"/>
      </w:pPr>
      <w:r>
        <w:rPr>
          <w:rFonts w:ascii="Arial" w:cs="Arial" w:eastAsia="Arial" w:hAnsi="Arial"/>
          <w:sz w:val="22"/>
          <w:szCs w:val="22"/>
        </w:rPr>
        <w:t xml:space="preserve">Deployment confirmed with yes. All 9 resources provisioned. Real AWS resource IDs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Real AWS 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vpc_id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vpc-08af353cee49f5f14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subnet_id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subnet-0a945d72b86c036c3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security_group_id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sg-0c5e40adfac58b760</w:t>
            </w:r>
          </w:p>
        </w:tc>
      </w:tr>
    </w:tbl>
    <w:p>
      <w:pPr>
        <w:spacing w:before="100" w:after="100"/>
      </w:pPr>
      <w:r>
        <w:t xml:space="preserve"/>
      </w:r>
    </w:p>
    <w:p>
      <w:pPr>
        <w:pStyle w:val="Heading2"/>
        <w:spacing w:before="240" w:after="80"/>
      </w:pPr>
      <w:r>
        <w:rPr>
          <w:rFonts w:ascii="Arial" w:cs="Arial" w:eastAsia="Arial" w:hAnsi="Arial"/>
          <w:b/>
          <w:bCs/>
          <w:sz w:val="26"/>
          <w:szCs w:val="26"/>
        </w:rPr>
        <w:t xml:space="preserve">9.6 AWS Console Verification</w:t>
      </w:r>
    </w:p>
    <w:p>
      <w:pPr>
        <w:spacing w:before="60" w:after="60"/>
      </w:pPr>
      <w:r>
        <w:rPr>
          <w:rFonts w:ascii="Arial" w:cs="Arial" w:eastAsia="Arial" w:hAnsi="Arial"/>
          <w:sz w:val="22"/>
          <w:szCs w:val="22"/>
        </w:rPr>
        <w:t xml:space="preserve">All resources verified live in the AWS Console (US East N. Virginia). Confirmed present:</w:t>
      </w:r>
    </w:p>
    <w:p>
      <w:pPr>
        <w:pStyle w:val="ListParagraph"/>
        <w:numPr>
          <w:ilvl w:val="0"/>
          <w:numId w:val="2"/>
        </w:numPr>
        <w:spacing w:before="40" w:after="40"/>
      </w:pPr>
      <w:r>
        <w:rPr>
          <w:rFonts w:ascii="Arial" w:cs="Arial" w:eastAsia="Arial" w:hAnsi="Arial"/>
          <w:sz w:val="22"/>
          <w:szCs w:val="22"/>
        </w:rPr>
        <w:t xml:space="preserve">VPC vpc-core-dev — vpc-08af353cee49f5f14 with CIDR 10.10.0.0/16</w:t>
      </w:r>
    </w:p>
    <w:p>
      <w:pPr>
        <w:pStyle w:val="ListParagraph"/>
        <w:numPr>
          <w:ilvl w:val="0"/>
          <w:numId w:val="2"/>
        </w:numPr>
        <w:spacing w:before="40" w:after="40"/>
      </w:pPr>
      <w:r>
        <w:rPr>
          <w:rFonts w:ascii="Arial" w:cs="Arial" w:eastAsia="Arial" w:hAnsi="Arial"/>
          <w:sz w:val="22"/>
          <w:szCs w:val="22"/>
        </w:rPr>
        <w:t xml:space="preserve">Subnet vpc-subnet-dev — subnet-0a945d72b86c036c3 with CIDR 10.10.1.0/24</w:t>
      </w:r>
    </w:p>
    <w:p>
      <w:pPr>
        <w:pStyle w:val="ListParagraph"/>
        <w:numPr>
          <w:ilvl w:val="0"/>
          <w:numId w:val="2"/>
        </w:numPr>
        <w:spacing w:before="40" w:after="40"/>
      </w:pPr>
      <w:r>
        <w:rPr>
          <w:rFonts w:ascii="Arial" w:cs="Arial" w:eastAsia="Arial" w:hAnsi="Arial"/>
          <w:sz w:val="22"/>
          <w:szCs w:val="22"/>
        </w:rPr>
        <w:t xml:space="preserve">Internet Gateway vpc-internet-gateway-dev attached to VPC</w:t>
      </w:r>
    </w:p>
    <w:p>
      <w:pPr>
        <w:pStyle w:val="ListParagraph"/>
        <w:numPr>
          <w:ilvl w:val="0"/>
          <w:numId w:val="2"/>
        </w:numPr>
        <w:spacing w:before="40" w:after="40"/>
      </w:pPr>
      <w:r>
        <w:rPr>
          <w:rFonts w:ascii="Arial" w:cs="Arial" w:eastAsia="Arial" w:hAnsi="Arial"/>
          <w:sz w:val="22"/>
          <w:szCs w:val="22"/>
        </w:rPr>
        <w:t xml:space="preserve">Route Table vpc-route-table-dev with 0.0.0.0/0 route to IGW</w:t>
      </w:r>
    </w:p>
    <w:p>
      <w:pPr>
        <w:pStyle w:val="ListParagraph"/>
        <w:numPr>
          <w:ilvl w:val="0"/>
          <w:numId w:val="2"/>
        </w:numPr>
        <w:spacing w:before="40" w:after="40"/>
      </w:pPr>
      <w:r>
        <w:rPr>
          <w:rFonts w:ascii="Arial" w:cs="Arial" w:eastAsia="Arial" w:hAnsi="Arial"/>
          <w:sz w:val="22"/>
          <w:szCs w:val="22"/>
        </w:rPr>
        <w:t xml:space="preserve">Security Group default-sg-dev with HTTPS (443) and SSH (22) ingress rules</w:t>
      </w:r>
    </w:p>
    <w:p>
      <w:pPr>
        <w:pStyle w:val="ListParagraph"/>
        <w:numPr>
          <w:ilvl w:val="0"/>
          <w:numId w:val="2"/>
        </w:numPr>
        <w:spacing w:before="40" w:after="40"/>
      </w:pPr>
      <w:r>
        <w:rPr>
          <w:rFonts w:ascii="Arial" w:cs="Arial" w:eastAsia="Arial" w:hAnsi="Arial"/>
          <w:sz w:val="22"/>
          <w:szCs w:val="22"/>
        </w:rPr>
        <w:t xml:space="preserve">All resources tagged: Environment: dev, ManagedBy: Terraform</w:t>
      </w:r>
    </w:p>
    <w:p>
      <w:pPr>
        <w:spacing w:before="100" w:after="100"/>
      </w:pPr>
      <w:r>
        <w:t xml:space="preserve"/>
      </w:r>
    </w:p>
    <w:p>
      <w:pPr>
        <w:pStyle w:val="Heading2"/>
        <w:spacing w:before="240" w:after="80"/>
      </w:pPr>
      <w:r>
        <w:rPr>
          <w:rFonts w:ascii="Arial" w:cs="Arial" w:eastAsia="Arial" w:hAnsi="Arial"/>
          <w:b/>
          <w:bCs/>
          <w:sz w:val="26"/>
          <w:szCs w:val="26"/>
        </w:rPr>
        <w:t xml:space="preserve">9.7 terraform state list — Module Namespace</w:t>
      </w:r>
    </w:p>
    <w:p>
      <w:pPr>
        <w:spacing w:before="60" w:after="60"/>
      </w:pPr>
      <w:r>
        <w:rPr>
          <w:rFonts w:ascii="Arial" w:cs="Arial" w:eastAsia="Arial" w:hAnsi="Arial"/>
          <w:sz w:val="22"/>
          <w:szCs w:val="22"/>
        </w:rPr>
        <w:t xml:space="preserve">The state list confirmed module ownership of all resources:</w:t>
      </w:r>
    </w:p>
    <w:p>
      <w:pPr>
        <w:shd w:fill="F2F2F2" w:val="clear"/>
        <w:spacing w:before="40" w:after="40"/>
        <w:ind w:left="720"/>
      </w:pPr>
      <w:r>
        <w:rPr>
          <w:rFonts w:ascii="Courier New" w:cs="Courier New" w:eastAsia="Courier New" w:hAnsi="Courier New"/>
          <w:color w:val="1F3864"/>
          <w:sz w:val="18"/>
          <w:szCs w:val="18"/>
        </w:rPr>
        <w:t xml:space="preserve">module.vpc.data.aws_region.current</w:t>
      </w:r>
    </w:p>
    <w:p>
      <w:pPr>
        <w:shd w:fill="F2F2F2" w:val="clear"/>
        <w:spacing w:before="40" w:after="40"/>
        <w:ind w:left="720"/>
      </w:pPr>
      <w:r>
        <w:rPr>
          <w:rFonts w:ascii="Courier New" w:cs="Courier New" w:eastAsia="Courier New" w:hAnsi="Courier New"/>
          <w:color w:val="1F3864"/>
          <w:sz w:val="18"/>
          <w:szCs w:val="18"/>
        </w:rPr>
        <w:t xml:space="preserve">module.vpc.aws_internet_gateway.gw</w:t>
      </w:r>
    </w:p>
    <w:p>
      <w:pPr>
        <w:shd w:fill="F2F2F2" w:val="clear"/>
        <w:spacing w:before="40" w:after="40"/>
        <w:ind w:left="720"/>
      </w:pPr>
      <w:r>
        <w:rPr>
          <w:rFonts w:ascii="Courier New" w:cs="Courier New" w:eastAsia="Courier New" w:hAnsi="Courier New"/>
          <w:color w:val="1F3864"/>
          <w:sz w:val="18"/>
          <w:szCs w:val="18"/>
        </w:rPr>
        <w:t xml:space="preserve">module.vpc.aws_route_table.rt</w:t>
      </w:r>
    </w:p>
    <w:p>
      <w:pPr>
        <w:shd w:fill="F2F2F2" w:val="clear"/>
        <w:spacing w:before="40" w:after="40"/>
        <w:ind w:left="720"/>
      </w:pPr>
      <w:r>
        <w:rPr>
          <w:rFonts w:ascii="Courier New" w:cs="Courier New" w:eastAsia="Courier New" w:hAnsi="Courier New"/>
          <w:color w:val="1F3864"/>
          <w:sz w:val="18"/>
          <w:szCs w:val="18"/>
        </w:rPr>
        <w:t xml:space="preserve">module.vpc.aws_route_table_association.rta</w:t>
      </w:r>
    </w:p>
    <w:p>
      <w:pPr>
        <w:shd w:fill="F2F2F2" w:val="clear"/>
        <w:spacing w:before="40" w:after="40"/>
        <w:ind w:left="720"/>
      </w:pPr>
      <w:r>
        <w:rPr>
          <w:rFonts w:ascii="Courier New" w:cs="Courier New" w:eastAsia="Courier New" w:hAnsi="Courier New"/>
          <w:color w:val="1F3864"/>
          <w:sz w:val="18"/>
          <w:szCs w:val="18"/>
        </w:rPr>
        <w:t xml:space="preserve">module.vpc.aws_security_group.default_sg</w:t>
      </w:r>
    </w:p>
    <w:p>
      <w:pPr>
        <w:shd w:fill="F2F2F2" w:val="clear"/>
        <w:spacing w:before="40" w:after="40"/>
        <w:ind w:left="720"/>
      </w:pPr>
      <w:r>
        <w:rPr>
          <w:rFonts w:ascii="Courier New" w:cs="Courier New" w:eastAsia="Courier New" w:hAnsi="Courier New"/>
          <w:color w:val="1F3864"/>
          <w:sz w:val="18"/>
          <w:szCs w:val="18"/>
        </w:rPr>
        <w:t xml:space="preserve">module.vpc.aws_subnet.main_subnet</w:t>
      </w:r>
    </w:p>
    <w:p>
      <w:pPr>
        <w:shd w:fill="F2F2F2" w:val="clear"/>
        <w:spacing w:before="40" w:after="40"/>
        <w:ind w:left="720"/>
      </w:pPr>
      <w:r>
        <w:rPr>
          <w:rFonts w:ascii="Courier New" w:cs="Courier New" w:eastAsia="Courier New" w:hAnsi="Courier New"/>
          <w:color w:val="1F3864"/>
          <w:sz w:val="18"/>
          <w:szCs w:val="18"/>
        </w:rPr>
        <w:t xml:space="preserve">module.vpc.aws_vpc.main</w:t>
      </w:r>
    </w:p>
    <w:p>
      <w:pPr>
        <w:shd w:fill="F2F2F2" w:val="clear"/>
        <w:spacing w:before="40" w:after="40"/>
        <w:ind w:left="720"/>
      </w:pPr>
      <w:r>
        <w:rPr>
          <w:rFonts w:ascii="Courier New" w:cs="Courier New" w:eastAsia="Courier New" w:hAnsi="Courier New"/>
          <w:color w:val="1F3864"/>
          <w:sz w:val="18"/>
          <w:szCs w:val="18"/>
        </w:rPr>
        <w:t xml:space="preserve">module.vpc.aws_vpc_security_group_egress_rule.outbound</w:t>
      </w:r>
    </w:p>
    <w:p>
      <w:pPr>
        <w:shd w:fill="F2F2F2" w:val="clear"/>
        <w:spacing w:before="40" w:after="40"/>
        <w:ind w:left="720"/>
      </w:pPr>
      <w:r>
        <w:rPr>
          <w:rFonts w:ascii="Courier New" w:cs="Courier New" w:eastAsia="Courier New" w:hAnsi="Courier New"/>
          <w:color w:val="1F3864"/>
          <w:sz w:val="18"/>
          <w:szCs w:val="18"/>
        </w:rPr>
        <w:t xml:space="preserve">module.vpc.aws_vpc_security_group_ingress_rule.https</w:t>
      </w:r>
    </w:p>
    <w:p>
      <w:pPr>
        <w:shd w:fill="F2F2F2" w:val="clear"/>
        <w:spacing w:before="40" w:after="40"/>
        <w:ind w:left="720"/>
      </w:pPr>
      <w:r>
        <w:rPr>
          <w:rFonts w:ascii="Courier New" w:cs="Courier New" w:eastAsia="Courier New" w:hAnsi="Courier New"/>
          <w:color w:val="1F3864"/>
          <w:sz w:val="18"/>
          <w:szCs w:val="18"/>
        </w:rPr>
        <w:t xml:space="preserve">module.vpc.aws_vpc_security_group_ingress_rule.ssh</w:t>
      </w:r>
    </w:p>
    <w:p>
      <w:pPr>
        <w:spacing w:before="60" w:after="60"/>
      </w:pPr>
      <w:r>
        <w:rPr>
          <w:rFonts w:ascii="Arial" w:cs="Arial" w:eastAsia="Arial" w:hAnsi="Arial"/>
          <w:sz w:val="22"/>
          <w:szCs w:val="22"/>
        </w:rPr>
        <w:t xml:space="preserve">Every entry is namespaced under module.vpc. — this allows multiple module instances (dev, staging, production) to coexist in the same state file without collision.</w:t>
      </w:r>
    </w:p>
    <w:p>
      <w:pPr>
        <w:spacing w:before="100" w:after="100"/>
      </w:pPr>
      <w:r>
        <w:t xml:space="preserve"/>
      </w:r>
    </w:p>
    <w:p>
      <w:pPr>
        <w:pStyle w:val="Heading2"/>
        <w:spacing w:before="240" w:after="80"/>
      </w:pPr>
      <w:r>
        <w:rPr>
          <w:rFonts w:ascii="Arial" w:cs="Arial" w:eastAsia="Arial" w:hAnsi="Arial"/>
          <w:b/>
          <w:bCs/>
          <w:sz w:val="26"/>
          <w:szCs w:val="26"/>
        </w:rPr>
        <w:t xml:space="preserve">9.8 terraform destroy — Clean Teardown</w:t>
      </w:r>
    </w:p>
    <w:p>
      <w:pPr>
        <w:shd w:fill="F2F2F2" w:val="clear"/>
        <w:spacing w:before="40" w:after="40"/>
        <w:ind w:left="720"/>
      </w:pPr>
      <w:r>
        <w:rPr>
          <w:rFonts w:ascii="Courier New" w:cs="Courier New" w:eastAsia="Courier New" w:hAnsi="Courier New"/>
          <w:color w:val="1F3864"/>
          <w:sz w:val="18"/>
          <w:szCs w:val="18"/>
        </w:rPr>
        <w:t xml:space="preserve">Destroy complete! Resources: 9 destroyed.</w:t>
      </w:r>
    </w:p>
    <w:p>
      <w:pPr>
        <w:spacing w:before="60" w:after="60"/>
      </w:pPr>
      <w:r>
        <w:rPr>
          <w:rFonts w:ascii="Arial" w:cs="Arial" w:eastAsia="Arial" w:hAnsi="Arial"/>
          <w:sz w:val="22"/>
          <w:szCs w:val="22"/>
        </w:rPr>
        <w:t xml:space="preserve">Notable observation: the Internet Gateway took approximately 2 minutes 45 seconds to destroy while all other resources completed in under 2 seconds. This is normal AWS API behaviour — Terraform retried automatically until AWS confirmed the detachment and deletion. No manual intervention required.</w:t>
      </w:r>
    </w:p>
    <w:p>
      <w:pPr>
        <w:spacing w:before="100" w:after="100"/>
      </w:pPr>
      <w:r>
        <w:t xml:space="preserve"/>
      </w:r>
    </w:p>
    <w:p>
      <w:pPr>
        <w:pStyle w:val="Heading1"/>
        <w:spacing w:before="360" w:after="120"/>
      </w:pPr>
      <w:r>
        <w:rPr>
          <w:rFonts w:ascii="Arial" w:cs="Arial" w:eastAsia="Arial" w:hAnsi="Arial"/>
          <w:b/>
          <w:bCs/>
          <w:sz w:val="32"/>
          <w:szCs w:val="32"/>
        </w:rPr>
        <w:t xml:space="preserve">10. Session 1 vs. Session 2 — 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rPr>
          <w:tblHeader/>
        </w:trPr>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Session 1 — Flat Structure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Session 2 — Module Structure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structure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working directory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Modules + Environments separation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 location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configuration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Inside module namespace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namespace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aws_vpc.main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module.vpc.aws_vpc.main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 output</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only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Modules + Provider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switching</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.tfvars file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 same module from different environment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reuse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Copy-paste required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module, multiple callers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declaration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root main.tf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environments/dev/main.tf only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reference style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aws_vpc.main.id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module.vpc.vpc_id</w:t>
            </w:r>
          </w:p>
        </w:tc>
      </w:tr>
    </w:tbl>
    <w:p>
      <w:pPr>
        <w:spacing w:before="100" w:after="100"/>
      </w:pPr>
      <w:r>
        <w:t xml:space="preserve"/>
      </w:r>
    </w:p>
    <w:p>
      <w:pPr>
        <w:pStyle w:val="Heading1"/>
        <w:spacing w:before="360" w:after="120"/>
      </w:pPr>
      <w:r>
        <w:rPr>
          <w:rFonts w:ascii="Arial" w:cs="Arial" w:eastAsia="Arial" w:hAnsi="Arial"/>
          <w:b/>
          <w:bCs/>
          <w:sz w:val="32"/>
          <w:szCs w:val="32"/>
        </w:rPr>
        <w:t xml:space="preserve">11. Key Session Takeaways</w:t>
      </w:r>
    </w:p>
    <w:p>
      <w:pPr>
        <w:pStyle w:val="ListParagraph"/>
        <w:numPr>
          <w:ilvl w:val="0"/>
          <w:numId w:val="2"/>
        </w:numPr>
        <w:spacing w:before="40" w:after="40"/>
      </w:pPr>
      <w:r>
        <w:rPr>
          <w:rFonts w:ascii="Arial" w:cs="Arial" w:eastAsia="Arial" w:hAnsi="Arial"/>
          <w:sz w:val="22"/>
          <w:szCs w:val="22"/>
        </w:rPr>
        <w:t xml:space="preserve">Variables make values reusable. Modules make infrastructure patterns reusable. These are different tools solving different problems.</w:t>
      </w:r>
    </w:p>
    <w:p>
      <w:pPr>
        <w:pStyle w:val="ListParagraph"/>
        <w:numPr>
          <w:ilvl w:val="0"/>
          <w:numId w:val="2"/>
        </w:numPr>
        <w:spacing w:before="40" w:after="40"/>
      </w:pPr>
      <w:r>
        <w:rPr>
          <w:rFonts w:ascii="Arial" w:cs="Arial" w:eastAsia="Arial" w:hAnsi="Arial"/>
          <w:sz w:val="22"/>
          <w:szCs w:val="22"/>
        </w:rPr>
        <w:t xml:space="preserve">The source path in a module call is just an address — it is not environment-specific. The same source is called from dev, staging, and production simultaneously.</w:t>
      </w:r>
    </w:p>
    <w:p>
      <w:pPr>
        <w:pStyle w:val="ListParagraph"/>
        <w:numPr>
          <w:ilvl w:val="0"/>
          <w:numId w:val="2"/>
        </w:numPr>
        <w:spacing w:before="40" w:after="40"/>
      </w:pPr>
      <w:r>
        <w:rPr>
          <w:rFonts w:ascii="Arial" w:cs="Arial" w:eastAsia="Arial" w:hAnsi="Arial"/>
          <w:sz w:val="22"/>
          <w:szCs w:val="22"/>
        </w:rPr>
        <w:t xml:space="preserve">Modules must never declare providers. The provider is inherited automatically from the calling environment, giving the caller control over which AWS account and region is targeted.</w:t>
      </w:r>
    </w:p>
    <w:p>
      <w:pPr>
        <w:pStyle w:val="ListParagraph"/>
        <w:numPr>
          <w:ilvl w:val="0"/>
          <w:numId w:val="2"/>
        </w:numPr>
        <w:spacing w:before="40" w:after="40"/>
      </w:pPr>
      <w:r>
        <w:rPr>
          <w:rFonts w:ascii="Arial" w:cs="Arial" w:eastAsia="Arial" w:hAnsi="Arial"/>
          <w:sz w:val="22"/>
          <w:szCs w:val="22"/>
        </w:rPr>
        <w:t xml:space="preserve">Module variables.tf is the public API of the module. Descriptions are mandatory — they are the documentation that other engineers depend on when calling the module.</w:t>
      </w:r>
    </w:p>
    <w:p>
      <w:pPr>
        <w:pStyle w:val="ListParagraph"/>
        <w:numPr>
          <w:ilvl w:val="0"/>
          <w:numId w:val="2"/>
        </w:numPr>
        <w:spacing w:before="40" w:after="40"/>
      </w:pPr>
      <w:r>
        <w:rPr>
          <w:rFonts w:ascii="Arial" w:cs="Arial" w:eastAsia="Arial" w:hAnsi="Arial"/>
          <w:sz w:val="22"/>
          <w:szCs w:val="22"/>
        </w:rPr>
        <w:t xml:space="preserve">Environment files should be deliberately minimal — provider block and module call only. If resources appear in the environment file, they belong in the module.</w:t>
      </w:r>
    </w:p>
    <w:p>
      <w:pPr>
        <w:pStyle w:val="ListParagraph"/>
        <w:numPr>
          <w:ilvl w:val="0"/>
          <w:numId w:val="2"/>
        </w:numPr>
        <w:spacing w:before="40" w:after="40"/>
      </w:pPr>
      <w:r>
        <w:rPr>
          <w:rFonts w:ascii="Arial" w:cs="Arial" w:eastAsia="Arial" w:hAnsi="Arial"/>
          <w:sz w:val="22"/>
          <w:szCs w:val="22"/>
        </w:rPr>
        <w:t xml:space="preserve">Inside a module, resources reference each other directly (aws_vpc.main.id). Outside the module, callers reference outputs using the module prefix (module.vpc.vpc_id). Two different syntaxes for two different perspectives.</w:t>
      </w:r>
    </w:p>
    <w:p>
      <w:pPr>
        <w:pStyle w:val="ListParagraph"/>
        <w:numPr>
          <w:ilvl w:val="0"/>
          <w:numId w:val="2"/>
        </w:numPr>
        <w:spacing w:before="40" w:after="40"/>
      </w:pPr>
      <w:r>
        <w:rPr>
          <w:rFonts w:ascii="Arial" w:cs="Arial" w:eastAsia="Arial" w:hAnsi="Arial"/>
          <w:sz w:val="22"/>
          <w:szCs w:val="22"/>
        </w:rPr>
        <w:t xml:space="preserve">Module resources are tracked in Terraform state under the module namespace (module.vpc.aws_vpc.main). This isolation allows multiple module instances to coexist in the same state file without conflict.</w:t>
      </w:r>
    </w:p>
    <w:p>
      <w:pPr>
        <w:pStyle w:val="ListParagraph"/>
        <w:numPr>
          <w:ilvl w:val="0"/>
          <w:numId w:val="2"/>
        </w:numPr>
        <w:spacing w:before="40" w:after="40"/>
      </w:pPr>
      <w:r>
        <w:rPr>
          <w:rFonts w:ascii="Arial" w:cs="Arial" w:eastAsia="Arial" w:hAnsi="Arial"/>
          <w:sz w:val="22"/>
          <w:szCs w:val="22"/>
        </w:rPr>
        <w:t xml:space="preserve">terraform_remote_state is the professional pattern for sharing module outputs across separate Terraform configurations managed by different teams.</w:t>
      </w:r>
    </w:p>
    <w:p>
      <w:pPr>
        <w:pStyle w:val="ListParagraph"/>
        <w:numPr>
          <w:ilvl w:val="0"/>
          <w:numId w:val="2"/>
        </w:numPr>
        <w:spacing w:before="40" w:after="40"/>
      </w:pPr>
      <w:r>
        <w:rPr>
          <w:rFonts w:ascii="Arial" w:cs="Arial" w:eastAsia="Arial" w:hAnsi="Arial"/>
          <w:sz w:val="22"/>
          <w:szCs w:val="22"/>
        </w:rPr>
        <w:t xml:space="preserve">The destroy order is the exact reverse of the creation order — Terraform walks the dependency graph backwards automatically. No cleanup logic required.</w:t>
      </w:r>
    </w:p>
    <w:p>
      <w:pPr>
        <w:spacing w:before="100" w:after="100"/>
      </w:pPr>
      <w:r>
        <w:t xml:space="preserve"/>
      </w:r>
    </w:p>
    <w:p>
      <w:pPr>
        <w:pStyle w:val="Heading1"/>
        <w:spacing w:before="360" w:after="120"/>
      </w:pPr>
      <w:r>
        <w:rPr>
          <w:rFonts w:ascii="Arial" w:cs="Arial" w:eastAsia="Arial" w:hAnsi="Arial"/>
          <w:b/>
          <w:bCs/>
          <w:sz w:val="32"/>
          <w:szCs w:val="32"/>
        </w:rPr>
        <w:t xml:space="preserve">12. Progress Assessment</w:t>
      </w:r>
    </w:p>
    <w:p>
      <w:pPr>
        <w:pStyle w:val="Heading2"/>
        <w:spacing w:before="240" w:after="80"/>
      </w:pPr>
      <w:r>
        <w:rPr>
          <w:rFonts w:ascii="Arial" w:cs="Arial" w:eastAsia="Arial" w:hAnsi="Arial"/>
          <w:b/>
          <w:bCs/>
          <w:sz w:val="26"/>
          <w:szCs w:val="26"/>
        </w:rPr>
        <w:t xml:space="preserve">12.1 Skill Level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rPr>
          <w:tblHeader/>
        </w:trPr>
        <w:tc>
          <w:tcPr>
            <w:tcW w:type="dxa" w:w="2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2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 at Start of Session 2</w:t>
            </w:r>
          </w:p>
        </w:tc>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 at End of Session 2</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concept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 — understands purpose, structure, and design rules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file structure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Applied — authored all three module files correctly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inheritance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Understood — knows modules must not declare providers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output interface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Applied — exposes and consumes outputs correctly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interpolation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 — applied to all names and tags throughout module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deployment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Achieved — deployed and verified module-based infra in AWS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namespace understanding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Observed — saw module.vpc. prefix in live state list</w:t>
            </w:r>
          </w:p>
        </w:tc>
      </w:tr>
    </w:tbl>
    <w:p>
      <w:pPr>
        <w:spacing w:before="100" w:after="100"/>
      </w:pPr>
      <w:r>
        <w:t xml:space="preserve"/>
      </w:r>
    </w:p>
    <w:p>
      <w:pPr>
        <w:pStyle w:val="Heading2"/>
        <w:spacing w:before="240" w:after="80"/>
      </w:pPr>
      <w:r>
        <w:rPr>
          <w:rFonts w:ascii="Arial" w:cs="Arial" w:eastAsia="Arial" w:hAnsi="Arial"/>
          <w:b/>
          <w:bCs/>
          <w:sz w:val="26"/>
          <w:szCs w:val="26"/>
        </w:rPr>
        <w:t xml:space="preserve">12.2 Notable Strengths Observed</w:t>
      </w:r>
    </w:p>
    <w:p>
      <w:pPr>
        <w:pStyle w:val="ListParagraph"/>
        <w:numPr>
          <w:ilvl w:val="0"/>
          <w:numId w:val="2"/>
        </w:numPr>
        <w:spacing w:before="40" w:after="40"/>
      </w:pPr>
      <w:r>
        <w:rPr>
          <w:rFonts w:ascii="Arial" w:cs="Arial" w:eastAsia="Arial" w:hAnsi="Arial"/>
          <w:sz w:val="22"/>
          <w:szCs w:val="22"/>
        </w:rPr>
        <w:t xml:space="preserve">Good instinct on module output interface — correctly identified subnet_id and security_group_id as required outputs without prompting.</w:t>
      </w:r>
    </w:p>
    <w:p>
      <w:pPr>
        <w:pStyle w:val="ListParagraph"/>
        <w:numPr>
          <w:ilvl w:val="0"/>
          <w:numId w:val="2"/>
        </w:numPr>
        <w:spacing w:before="40" w:after="40"/>
      </w:pPr>
      <w:r>
        <w:rPr>
          <w:rFonts w:ascii="Arial" w:cs="Arial" w:eastAsia="Arial" w:hAnsi="Arial"/>
          <w:sz w:val="22"/>
          <w:szCs w:val="22"/>
        </w:rPr>
        <w:t xml:space="preserve">Clean module call in environments/dev/main.tf — provider + module call only, correctly minimal.</w:t>
      </w:r>
    </w:p>
    <w:p>
      <w:pPr>
        <w:pStyle w:val="ListParagraph"/>
        <w:numPr>
          <w:ilvl w:val="0"/>
          <w:numId w:val="2"/>
        </w:numPr>
        <w:spacing w:before="40" w:after="40"/>
      </w:pPr>
      <w:r>
        <w:rPr>
          <w:rFonts w:ascii="Arial" w:cs="Arial" w:eastAsia="Arial" w:hAnsi="Arial"/>
          <w:sz w:val="22"/>
          <w:szCs w:val="22"/>
        </w:rPr>
        <w:t xml:space="preserve">Quickly corrected string interpolation errors once the pattern was established.</w:t>
      </w:r>
    </w:p>
    <w:p>
      <w:pPr>
        <w:pStyle w:val="ListParagraph"/>
        <w:numPr>
          <w:ilvl w:val="0"/>
          <w:numId w:val="2"/>
        </w:numPr>
        <w:spacing w:before="40" w:after="40"/>
      </w:pPr>
      <w:r>
        <w:rPr>
          <w:rFonts w:ascii="Arial" w:cs="Arial" w:eastAsia="Arial" w:hAnsi="Arial"/>
          <w:sz w:val="22"/>
          <w:szCs w:val="22"/>
        </w:rPr>
        <w:t xml:space="preserve">Consistent save-and-verify approach — caught missing file saves before they caused plan failures.</w:t>
      </w:r>
    </w:p>
    <w:p>
      <w:pPr>
        <w:spacing w:before="100" w:after="100"/>
      </w:pPr>
      <w:r>
        <w:t xml:space="preserve"/>
      </w:r>
    </w:p>
    <w:p>
      <w:pPr>
        <w:pStyle w:val="Heading2"/>
        <w:spacing w:before="240" w:after="80"/>
      </w:pPr>
      <w:r>
        <w:rPr>
          <w:rFonts w:ascii="Arial" w:cs="Arial" w:eastAsia="Arial" w:hAnsi="Arial"/>
          <w:b/>
          <w:bCs/>
          <w:sz w:val="26"/>
          <w:szCs w:val="26"/>
        </w:rPr>
        <w:t xml:space="preserve">12.3 Areas to Reinforce</w:t>
      </w:r>
    </w:p>
    <w:p>
      <w:pPr>
        <w:pStyle w:val="ListParagraph"/>
        <w:numPr>
          <w:ilvl w:val="0"/>
          <w:numId w:val="2"/>
        </w:numPr>
        <w:spacing w:before="40" w:after="40"/>
      </w:pPr>
      <w:r>
        <w:rPr>
          <w:rFonts w:ascii="Arial" w:cs="Arial" w:eastAsia="Arial" w:hAnsi="Arial"/>
          <w:sz w:val="22"/>
          <w:szCs w:val="22"/>
        </w:rPr>
        <w:t xml:space="preserve">Module boundary awareness — the distinction between inside-module resource references and outside-module output references requires reinforcement.</w:t>
      </w:r>
    </w:p>
    <w:p>
      <w:pPr>
        <w:pStyle w:val="ListParagraph"/>
        <w:numPr>
          <w:ilvl w:val="0"/>
          <w:numId w:val="2"/>
        </w:numPr>
        <w:spacing w:before="40" w:after="40"/>
      </w:pPr>
      <w:r>
        <w:rPr>
          <w:rFonts w:ascii="Arial" w:cs="Arial" w:eastAsia="Arial" w:hAnsi="Arial"/>
          <w:sz w:val="22"/>
          <w:szCs w:val="22"/>
        </w:rPr>
        <w:t xml:space="preserve">Provider placement — instinct to include providers everywhere needs to be overridden with the module inheritance model.</w:t>
      </w:r>
    </w:p>
    <w:p>
      <w:pPr>
        <w:pStyle w:val="ListParagraph"/>
        <w:numPr>
          <w:ilvl w:val="0"/>
          <w:numId w:val="2"/>
        </w:numPr>
        <w:spacing w:before="40" w:after="40"/>
      </w:pPr>
      <w:r>
        <w:rPr>
          <w:rFonts w:ascii="Arial" w:cs="Arial" w:eastAsia="Arial" w:hAnsi="Arial"/>
          <w:sz w:val="22"/>
          <w:szCs w:val="22"/>
        </w:rPr>
        <w:t xml:space="preserve">Environment file discipline — resist the urge to add resources to environment files. Resources always belong in modules.</w:t>
      </w:r>
    </w:p>
    <w:p>
      <w:pPr>
        <w:spacing w:before="100" w:after="100"/>
      </w:pPr>
      <w:r>
        <w:t xml:space="preserve"/>
      </w:r>
    </w:p>
    <w:p>
      <w:pPr>
        <w:pStyle w:val="Heading1"/>
        <w:spacing w:before="360" w:after="120"/>
      </w:pPr>
      <w:r>
        <w:rPr>
          <w:rFonts w:ascii="Arial" w:cs="Arial" w:eastAsia="Arial" w:hAnsi="Arial"/>
          <w:b/>
          <w:bCs/>
          <w:sz w:val="32"/>
          <w:szCs w:val="32"/>
        </w:rPr>
        <w:t xml:space="preserve">13. Session 3 — Preview and Preparation</w:t>
      </w:r>
    </w:p>
    <w:p>
      <w:pPr>
        <w:pStyle w:val="Heading2"/>
        <w:spacing w:before="240" w:after="80"/>
      </w:pPr>
      <w:r>
        <w:rPr>
          <w:rFonts w:ascii="Arial" w:cs="Arial" w:eastAsia="Arial" w:hAnsi="Arial"/>
          <w:b/>
          <w:bCs/>
          <w:sz w:val="26"/>
          <w:szCs w:val="26"/>
        </w:rPr>
        <w:t xml:space="preserve">13.1 Upcoming Topics</w:t>
      </w:r>
    </w:p>
    <w:p>
      <w:pPr>
        <w:spacing w:before="60" w:after="60"/>
      </w:pPr>
      <w:r>
        <w:rPr>
          <w:rFonts w:ascii="Arial" w:cs="Arial" w:eastAsia="Arial" w:hAnsi="Arial"/>
          <w:sz w:val="22"/>
          <w:szCs w:val="22"/>
        </w:rPr>
        <w:t xml:space="preserve">Session 3 moves beyond the single public subnet architecture into production-grade AWS network design. Real production workloads almost never sit directly in a public subnet.</w:t>
      </w:r>
    </w:p>
    <w:p>
      <w:pPr>
        <w:pStyle w:val="Heading2"/>
        <w:spacing w:before="240" w:after="80"/>
      </w:pPr>
      <w:r>
        <w:rPr>
          <w:rFonts w:ascii="Arial" w:cs="Arial" w:eastAsia="Arial" w:hAnsi="Arial"/>
          <w:b/>
          <w:bCs/>
          <w:sz w:val="26"/>
          <w:szCs w:val="26"/>
        </w:rPr>
        <w:t xml:space="preserve">13.2 Target Architecture</w:t>
      </w:r>
    </w:p>
    <w:p>
      <w:pPr>
        <w:shd w:fill="F2F2F2" w:val="clear"/>
        <w:spacing w:before="40" w:after="40"/>
        <w:ind w:left="720"/>
      </w:pPr>
      <w:r>
        <w:rPr>
          <w:rFonts w:ascii="Courier New" w:cs="Courier New" w:eastAsia="Courier New" w:hAnsi="Courier New"/>
          <w:color w:val="1F3864"/>
          <w:sz w:val="18"/>
          <w:szCs w:val="18"/>
        </w:rPr>
        <w:t xml:space="preserve">                   Internet</w:t>
      </w:r>
    </w:p>
    <w:p>
      <w:pPr>
        <w:shd w:fill="F2F2F2" w:val="clear"/>
        <w:spacing w:before="40" w:after="40"/>
        <w:ind w:left="720"/>
      </w:pPr>
      <w:r>
        <w:rPr>
          <w:rFonts w:ascii="Courier New" w:cs="Courier New" w:eastAsia="Courier New" w:hAnsi="Courier New"/>
          <w:color w:val="1F3864"/>
          <w:sz w:val="18"/>
          <w:szCs w:val="18"/>
        </w:rPr>
        <w:t xml:space="preserve">                      |</w:t>
      </w:r>
    </w:p>
    <w:p>
      <w:pPr>
        <w:shd w:fill="F2F2F2" w:val="clear"/>
        <w:spacing w:before="40" w:after="40"/>
        <w:ind w:left="720"/>
      </w:pPr>
      <w:r>
        <w:rPr>
          <w:rFonts w:ascii="Courier New" w:cs="Courier New" w:eastAsia="Courier New" w:hAnsi="Courier New"/>
          <w:color w:val="1F3864"/>
          <w:sz w:val="18"/>
          <w:szCs w:val="18"/>
        </w:rPr>
        <w:t xml:space="preserve">            Internet Gateway</w:t>
      </w:r>
    </w:p>
    <w:p>
      <w:pPr>
        <w:shd w:fill="F2F2F2" w:val="clear"/>
        <w:spacing w:before="40" w:after="40"/>
        <w:ind w:left="720"/>
      </w:pPr>
      <w:r>
        <w:rPr>
          <w:rFonts w:ascii="Courier New" w:cs="Courier New" w:eastAsia="Courier New" w:hAnsi="Courier New"/>
          <w:color w:val="1F3864"/>
          <w:sz w:val="18"/>
          <w:szCs w:val="18"/>
        </w:rPr>
        <w:t xml:space="preserve">                      |</w:t>
      </w:r>
    </w:p>
    <w:p>
      <w:pPr>
        <w:shd w:fill="F2F2F2" w:val="clear"/>
        <w:spacing w:before="40" w:after="40"/>
        <w:ind w:left="720"/>
      </w:pPr>
      <w:r>
        <w:rPr>
          <w:rFonts w:ascii="Courier New" w:cs="Courier New" w:eastAsia="Courier New" w:hAnsi="Courier New"/>
          <w:color w:val="1F3864"/>
          <w:sz w:val="18"/>
          <w:szCs w:val="18"/>
        </w:rPr>
        <w:t xml:space="preserve">   +------------------+------------------+</w:t>
      </w:r>
    </w:p>
    <w:p>
      <w:pPr>
        <w:shd w:fill="F2F2F2" w:val="clear"/>
        <w:spacing w:before="40" w:after="40"/>
        <w:ind w:left="720"/>
      </w:pPr>
      <w:r>
        <w:rPr>
          <w:rFonts w:ascii="Courier New" w:cs="Courier New" w:eastAsia="Courier New" w:hAnsi="Courier New"/>
          <w:color w:val="1F3864"/>
          <w:sz w:val="18"/>
          <w:szCs w:val="18"/>
        </w:rPr>
        <w:t xml:space="preserve">   |         Public Subnet(s)            |</w:t>
      </w:r>
    </w:p>
    <w:p>
      <w:pPr>
        <w:shd w:fill="F2F2F2" w:val="clear"/>
        <w:spacing w:before="40" w:after="40"/>
        <w:ind w:left="720"/>
      </w:pPr>
      <w:r>
        <w:rPr>
          <w:rFonts w:ascii="Courier New" w:cs="Courier New" w:eastAsia="Courier New" w:hAnsi="Courier New"/>
          <w:color w:val="1F3864"/>
          <w:sz w:val="18"/>
          <w:szCs w:val="18"/>
        </w:rPr>
        <w:t xml:space="preserve">   |   NAT Gateway    Load Balancer      |</w:t>
      </w:r>
    </w:p>
    <w:p>
      <w:pPr>
        <w:shd w:fill="F2F2F2" w:val="clear"/>
        <w:spacing w:before="40" w:after="40"/>
        <w:ind w:left="720"/>
      </w:pPr>
      <w:r>
        <w:rPr>
          <w:rFonts w:ascii="Courier New" w:cs="Courier New" w:eastAsia="Courier New" w:hAnsi="Courier New"/>
          <w:color w:val="1F3864"/>
          <w:sz w:val="18"/>
          <w:szCs w:val="18"/>
        </w:rPr>
        <w:t xml:space="preserve">   +------------------+------------------+</w:t>
      </w:r>
    </w:p>
    <w:p>
      <w:pPr>
        <w:shd w:fill="F2F2F2" w:val="clear"/>
        <w:spacing w:before="40" w:after="40"/>
        <w:ind w:left="720"/>
      </w:pPr>
      <w:r>
        <w:rPr>
          <w:rFonts w:ascii="Courier New" w:cs="Courier New" w:eastAsia="Courier New" w:hAnsi="Courier New"/>
          <w:color w:val="1F3864"/>
          <w:sz w:val="18"/>
          <w:szCs w:val="18"/>
        </w:rPr>
        <w:t xml:space="preserve">                      |</w:t>
      </w:r>
    </w:p>
    <w:p>
      <w:pPr>
        <w:shd w:fill="F2F2F2" w:val="clear"/>
        <w:spacing w:before="40" w:after="40"/>
        <w:ind w:left="720"/>
      </w:pPr>
      <w:r>
        <w:rPr>
          <w:rFonts w:ascii="Courier New" w:cs="Courier New" w:eastAsia="Courier New" w:hAnsi="Courier New"/>
          <w:color w:val="1F3864"/>
          <w:sz w:val="18"/>
          <w:szCs w:val="18"/>
        </w:rPr>
        <w:t xml:space="preserve">   +------------------+------------------+</w:t>
      </w:r>
    </w:p>
    <w:p>
      <w:pPr>
        <w:shd w:fill="F2F2F2" w:val="clear"/>
        <w:spacing w:before="40" w:after="40"/>
        <w:ind w:left="720"/>
      </w:pPr>
      <w:r>
        <w:rPr>
          <w:rFonts w:ascii="Courier New" w:cs="Courier New" w:eastAsia="Courier New" w:hAnsi="Courier New"/>
          <w:color w:val="1F3864"/>
          <w:sz w:val="18"/>
          <w:szCs w:val="18"/>
        </w:rPr>
        <w:t xml:space="preserve">   |         Private Subnet(s)           |</w:t>
      </w:r>
    </w:p>
    <w:p>
      <w:pPr>
        <w:shd w:fill="F2F2F2" w:val="clear"/>
        <w:spacing w:before="40" w:after="40"/>
        <w:ind w:left="720"/>
      </w:pPr>
      <w:r>
        <w:rPr>
          <w:rFonts w:ascii="Courier New" w:cs="Courier New" w:eastAsia="Courier New" w:hAnsi="Courier New"/>
          <w:color w:val="1F3864"/>
          <w:sz w:val="18"/>
          <w:szCs w:val="18"/>
        </w:rPr>
        <w:t xml:space="preserve">   |    Application Servers              |</w:t>
      </w:r>
    </w:p>
    <w:p>
      <w:pPr>
        <w:shd w:fill="F2F2F2" w:val="clear"/>
        <w:spacing w:before="40" w:after="40"/>
        <w:ind w:left="720"/>
      </w:pPr>
      <w:r>
        <w:rPr>
          <w:rFonts w:ascii="Courier New" w:cs="Courier New" w:eastAsia="Courier New" w:hAnsi="Courier New"/>
          <w:color w:val="1F3864"/>
          <w:sz w:val="18"/>
          <w:szCs w:val="18"/>
        </w:rPr>
        <w:t xml:space="preserve">   |    Database Servers                 |</w:t>
      </w:r>
    </w:p>
    <w:p>
      <w:pPr>
        <w:shd w:fill="F2F2F2" w:val="clear"/>
        <w:spacing w:before="40" w:after="40"/>
        <w:ind w:left="720"/>
      </w:pPr>
      <w:r>
        <w:rPr>
          <w:rFonts w:ascii="Courier New" w:cs="Courier New" w:eastAsia="Courier New" w:hAnsi="Courier New"/>
          <w:color w:val="1F3864"/>
          <w:sz w:val="18"/>
          <w:szCs w:val="18"/>
        </w:rPr>
        <w:t xml:space="preserve">   +-------------------------------------+</w:t>
      </w:r>
    </w:p>
    <w:p>
      <w:pPr>
        <w:spacing w:before="100" w:after="100"/>
      </w:pPr>
      <w:r>
        <w:t xml:space="preserve"/>
      </w:r>
    </w:p>
    <w:p>
      <w:pPr>
        <w:pStyle w:val="Heading2"/>
        <w:spacing w:before="240" w:after="80"/>
      </w:pPr>
      <w:r>
        <w:rPr>
          <w:rFonts w:ascii="Arial" w:cs="Arial" w:eastAsia="Arial" w:hAnsi="Arial"/>
          <w:b/>
          <w:bCs/>
          <w:sz w:val="26"/>
          <w:szCs w:val="26"/>
        </w:rPr>
        <w:t xml:space="preserve">13.3 Topics Scheduled</w:t>
      </w:r>
    </w:p>
    <w:p>
      <w:pPr>
        <w:pStyle w:val="ListParagraph"/>
        <w:numPr>
          <w:ilvl w:val="0"/>
          <w:numId w:val="2"/>
        </w:numPr>
        <w:spacing w:before="40" w:after="40"/>
      </w:pPr>
      <w:r>
        <w:rPr>
          <w:rFonts w:ascii="Arial" w:cs="Arial" w:eastAsia="Arial" w:hAnsi="Arial"/>
          <w:sz w:val="22"/>
          <w:szCs w:val="22"/>
        </w:rPr>
        <w:t xml:space="preserve">Public vs. Private Subnets — why production workloads are almost never directly internet-facing</w:t>
      </w:r>
    </w:p>
    <w:p>
      <w:pPr>
        <w:pStyle w:val="ListParagraph"/>
        <w:numPr>
          <w:ilvl w:val="0"/>
          <w:numId w:val="2"/>
        </w:numPr>
        <w:spacing w:before="40" w:after="40"/>
      </w:pPr>
      <w:r>
        <w:rPr>
          <w:rFonts w:ascii="Arial" w:cs="Arial" w:eastAsia="Arial" w:hAnsi="Arial"/>
          <w:sz w:val="22"/>
          <w:szCs w:val="22"/>
        </w:rPr>
        <w:t xml:space="preserve">NAT Gateway — how private resources reach the internet without being reachable from it</w:t>
      </w:r>
    </w:p>
    <w:p>
      <w:pPr>
        <w:pStyle w:val="ListParagraph"/>
        <w:numPr>
          <w:ilvl w:val="0"/>
          <w:numId w:val="2"/>
        </w:numPr>
        <w:spacing w:before="40" w:after="40"/>
      </w:pPr>
      <w:r>
        <w:rPr>
          <w:rFonts w:ascii="Arial" w:cs="Arial" w:eastAsia="Arial" w:hAnsi="Arial"/>
          <w:sz w:val="22"/>
          <w:szCs w:val="22"/>
        </w:rPr>
        <w:t xml:space="preserve">Multi-AZ Architecture — spanning multiple availability zones for resilience</w:t>
      </w:r>
    </w:p>
    <w:p>
      <w:pPr>
        <w:pStyle w:val="ListParagraph"/>
        <w:numPr>
          <w:ilvl w:val="0"/>
          <w:numId w:val="2"/>
        </w:numPr>
        <w:spacing w:before="40" w:after="40"/>
      </w:pPr>
      <w:r>
        <w:rPr>
          <w:rFonts w:ascii="Arial" w:cs="Arial" w:eastAsia="Arial" w:hAnsi="Arial"/>
          <w:sz w:val="22"/>
          <w:szCs w:val="22"/>
        </w:rPr>
        <w:t xml:space="preserve">Bastion Hosts — the secure SSH access pattern for private infrastructure</w:t>
      </w:r>
    </w:p>
    <w:p>
      <w:pPr>
        <w:spacing w:before="100" w:after="100"/>
      </w:pPr>
      <w:r>
        <w:t xml:space="preserve"/>
      </w:r>
    </w:p>
    <w:p>
      <w:pPr>
        <w:pStyle w:val="Heading2"/>
        <w:spacing w:before="240" w:after="80"/>
      </w:pPr>
      <w:r>
        <w:rPr>
          <w:rFonts w:ascii="Arial" w:cs="Arial" w:eastAsia="Arial" w:hAnsi="Arial"/>
          <w:b/>
          <w:bCs/>
          <w:sz w:val="26"/>
          <w:szCs w:val="26"/>
        </w:rPr>
        <w:t xml:space="preserve">13.4 Preparation Recommendations</w:t>
      </w:r>
    </w:p>
    <w:p>
      <w:pPr>
        <w:pStyle w:val="ListParagraph"/>
        <w:numPr>
          <w:ilvl w:val="0"/>
          <w:numId w:val="2"/>
        </w:numPr>
        <w:spacing w:before="40" w:after="40"/>
      </w:pPr>
      <w:r>
        <w:rPr>
          <w:rFonts w:ascii="Arial" w:cs="Arial" w:eastAsia="Arial" w:hAnsi="Arial"/>
          <w:sz w:val="22"/>
          <w:szCs w:val="22"/>
        </w:rPr>
        <w:t xml:space="preserve">Review the complete module structure built in Session 2 — understand each file's role without reference material</w:t>
      </w:r>
    </w:p>
    <w:p>
      <w:pPr>
        <w:pStyle w:val="ListParagraph"/>
        <w:numPr>
          <w:ilvl w:val="0"/>
          <w:numId w:val="2"/>
        </w:numPr>
        <w:spacing w:before="40" w:after="40"/>
      </w:pPr>
      <w:r>
        <w:rPr>
          <w:rFonts w:ascii="Arial" w:cs="Arial" w:eastAsia="Arial" w:hAnsi="Arial"/>
          <w:sz w:val="22"/>
          <w:szCs w:val="22"/>
        </w:rPr>
        <w:t xml:space="preserve">Understand why private subnets exist before Session 3 — think about what an attacker can reach if everything is in a public subnet</w:t>
      </w:r>
    </w:p>
    <w:p>
      <w:pPr>
        <w:pStyle w:val="ListParagraph"/>
        <w:numPr>
          <w:ilvl w:val="0"/>
          <w:numId w:val="2"/>
        </w:numPr>
        <w:spacing w:before="40" w:after="40"/>
      </w:pPr>
      <w:r>
        <w:rPr>
          <w:rFonts w:ascii="Arial" w:cs="Arial" w:eastAsia="Arial" w:hAnsi="Arial"/>
          <w:sz w:val="22"/>
          <w:szCs w:val="22"/>
        </w:rPr>
        <w:t xml:space="preserve">Review the AWS Free Tier limits for NAT Gateway — this is the first resource in the program that incurs cost (approximately $0.045/hour + data processing)</w:t>
      </w:r>
    </w:p>
    <w:p>
      <w:pPr>
        <w:spacing w:before="100" w:after="100"/>
      </w:pPr>
      <w:r>
        <w:t xml:space="preserve"/>
      </w:r>
    </w:p>
    <w:p>
      <w:pPr>
        <w:pStyle w:val="Heading1"/>
        <w:spacing w:before="360" w:after="120"/>
      </w:pPr>
      <w:r>
        <w:rPr>
          <w:rFonts w:ascii="Arial" w:cs="Arial" w:eastAsia="Arial" w:hAnsi="Arial"/>
          <w:b/>
          <w:bCs/>
          <w:sz w:val="32"/>
          <w:szCs w:val="32"/>
        </w:rPr>
        <w:t xml:space="preserve">14. Closing Notes</w:t>
      </w:r>
    </w:p>
    <w:p>
      <w:pPr>
        <w:spacing w:before="60" w:after="60"/>
      </w:pPr>
      <w:r>
        <w:rPr>
          <w:rFonts w:ascii="Arial" w:cs="Arial" w:eastAsia="Arial" w:hAnsi="Arial"/>
          <w:sz w:val="22"/>
          <w:szCs w:val="22"/>
        </w:rPr>
        <w:t xml:space="preserve">Session 2 represents a significant step in architectural maturity. The transition from flat Terraform configurations to modular infrastructure is the same transition professional cloud engineers make when moving from personal projects to team-scale infrastructure.</w:t>
      </w:r>
    </w:p>
    <w:p>
      <w:pPr>
        <w:spacing w:before="60" w:after="60"/>
      </w:pPr>
      <w:r>
        <w:rPr>
          <w:rFonts w:ascii="Arial" w:cs="Arial" w:eastAsia="Arial" w:hAnsi="Arial"/>
          <w:sz w:val="22"/>
          <w:szCs w:val="22"/>
        </w:rPr>
        <w:t xml:space="preserve">The errors made in Session 2 were pattern-based rather than conceptual — the most common mistakes involved not yet having an instinct for where different pieces of code belong. That instinct develops with repetition, and the hands-on workshop accelerated it significantly.</w:t>
      </w:r>
    </w:p>
    <w:p>
      <w:pPr>
        <w:spacing w:before="60" w:after="60"/>
      </w:pPr>
      <w:r>
        <w:rPr>
          <w:rFonts w:ascii="Arial" w:cs="Arial" w:eastAsia="Arial" w:hAnsi="Arial"/>
          <w:sz w:val="22"/>
          <w:szCs w:val="22"/>
        </w:rPr>
        <w:t xml:space="preserve">The completion of a live module deployment — watching Terraform resolve module.vpc. namespaced resources in real time and seeing the output chain flow from module internals to caller outputs — is the moment module architecture stops being abstract and becomes a tool you can reason about confidently.</w:t>
      </w:r>
    </w:p>
    <w:p>
      <w:pPr>
        <w:spacing w:before="60" w:after="60"/>
      </w:pPr>
      <w:r>
        <w:rPr>
          <w:rFonts w:ascii="Arial" w:cs="Arial" w:eastAsia="Arial" w:hAnsi="Arial"/>
          <w:sz w:val="22"/>
          <w:szCs w:val="22"/>
        </w:rPr>
        <w:t xml:space="preserve">Sessions 1 and 2 together have established the full IaC foundation. Everything from Session 3 onward builds on these patterns.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8640"/>
      </w:tabs>
    </w:pPr>
    <w:r>
      <w:rPr>
        <w:rFonts w:ascii="Arial" w:cs="Arial" w:eastAsia="Arial" w:hAnsi="Arial"/>
        <w:color w:val="666666"/>
        <w:sz w:val="18"/>
        <w:szCs w:val="18"/>
      </w:rPr>
      <w:t xml:space="preserve">Confidential — Cloud Engineering Learning Program</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8640"/>
      </w:tabs>
    </w:pPr>
    <w:r>
      <w:rPr>
        <w:rFonts w:ascii="Arial" w:cs="Arial" w:eastAsia="Arial" w:hAnsi="Arial"/>
        <w:b/>
        <w:bCs/>
        <w:color w:val="2E75B6"/>
        <w:sz w:val="20"/>
        <w:szCs w:val="20"/>
      </w:rPr>
      <w:t xml:space="preserve">CLOUD ENGINEERING PROGRAM</w:t>
    </w:r>
    <w:r>
      <w:rPr>
        <w:rFonts w:ascii="Arial" w:cs="Arial" w:eastAsia="Arial" w:hAnsi="Arial"/>
        <w:color w:val="666666"/>
        <w:sz w:val="20"/>
        <w:szCs w:val="20"/>
      </w:rPr>
      <w:t xml:space="preserve">	Session 2 Summary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2026-02-24T23:44:57.426Z</dcterms:created>
  <dcterms:modified xsi:type="dcterms:W3CDTF">2026-02-24T23:44:57.427Z</dcterms:modified>
</cp:coreProperties>
</file>

<file path=docProps/custom.xml><?xml version="1.0" encoding="utf-8"?>
<Properties xmlns="http://schemas.openxmlformats.org/officeDocument/2006/custom-properties" xmlns:vt="http://schemas.openxmlformats.org/officeDocument/2006/docPropsVTypes"/>
</file>