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80"/>
        <w:jc w:val="center"/>
      </w:pPr>
      <w:r>
        <w:rPr>
          <w:rFonts w:ascii="Arial" w:cs="Arial" w:eastAsia="Arial" w:hAnsi="Arial"/>
          <w:b/>
          <w:bCs/>
          <w:color w:val="1F3864"/>
          <w:sz w:val="48"/>
          <w:szCs w:val="48"/>
        </w:rPr>
        <w:t xml:space="preserve">CLOUD ENGINEERING PROGRAM</w:t>
      </w:r>
    </w:p>
    <w:p>
      <w:pPr>
        <w:spacing w:after="160"/>
        <w:jc w:val="center"/>
      </w:pPr>
      <w:r>
        <w:rPr>
          <w:rFonts w:ascii="Arial" w:cs="Arial" w:eastAsia="Arial" w:hAnsi="Arial"/>
          <w:color w:val="2E75B6"/>
          <w:sz w:val="32"/>
          <w:szCs w:val="32"/>
        </w:rPr>
        <w:t xml:space="preserve">Session 3 — Official Summary Report</w:t>
      </w:r>
    </w:p>
    <w:p>
      <w:pPr>
        <w:spacing w:after="320"/>
        <w:jc w:val="center"/>
      </w:pPr>
      <w:r>
        <w:rPr>
          <w:rFonts w:ascii="Arial" w:cs="Arial" w:eastAsia="Arial" w:hAnsi="Arial"/>
          <w:i/>
          <w:iCs/>
          <w:color w:val="444444"/>
          <w:sz w:val="26"/>
          <w:szCs w:val="26"/>
        </w:rPr>
        <w:t xml:space="preserve">AWS Networking Deep Dive &amp; Multi-AZ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Chris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Track</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Multi-Cloud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Intermediate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Session Date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Session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Builds 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Session 2 — Terraform Modules</w:t>
            </w:r>
          </w:p>
        </w:tc>
      </w:tr>
    </w:tbl>
    <w:p>
      <w:pPr>
        <w:spacing w:after="120"/>
      </w:pPr>
      <w:r>
        <w:t xml:space="preserve"/>
      </w:r>
    </w:p>
    <w:p>
      <w:pPr>
        <w:pStyle w:val="Heading1"/>
      </w:pPr>
      <w:r>
        <w:rPr>
          <w:rFonts w:ascii="Arial" w:cs="Arial" w:eastAsia="Arial" w:hAnsi="Arial"/>
          <w:b/>
          <w:bCs/>
          <w:color w:val="1F3864"/>
          <w:sz w:val="36"/>
          <w:szCs w:val="36"/>
        </w:rPr>
        <w:t xml:space="preserve">1. Executive Summary</w:t>
      </w:r>
    </w:p>
    <w:p>
      <w:pPr>
        <w:spacing w:after="120"/>
      </w:pPr>
      <w:r>
        <w:rPr>
          <w:rFonts w:ascii="Arial" w:cs="Arial" w:eastAsia="Arial" w:hAnsi="Arial"/>
          <w:sz w:val="22"/>
          <w:szCs w:val="22"/>
        </w:rPr>
        <w:t xml:space="preserve">Session 3 of the Cloud Engineering learning program extended the modular Terraform architecture established in Sessions 1 and 2 into production-grade AWS network design. The session introduced private subnets, NAT Gateways, Multi-AZ architecture, and the Terraform count meta-argument for creating multiple resources from a single block.</w:t>
      </w:r>
    </w:p>
    <w:p>
      <w:pPr>
        <w:spacing w:after="120"/>
      </w:pPr>
      <w:r>
        <w:rPr>
          <w:rFonts w:ascii="Arial" w:cs="Arial" w:eastAsia="Arial" w:hAnsi="Arial"/>
          <w:sz w:val="22"/>
          <w:szCs w:val="22"/>
        </w:rPr>
        <w:t xml:space="preserve">The session followed the established pattern of conceptual instruction through Socratic dialogue followed by complete hands-on implementation and live AWS deployment. By the end of the session, Chris had successfully deployed a production-grade, multi-AZ VPC architecture — the networking foundation used by real AWS workloads — and destroyed all resources cleanly with zero cost exposure.</w:t>
      </w:r>
    </w:p>
    <w:p>
      <w:pPr>
        <w:spacing w:after="120"/>
      </w:pPr>
      <w:r>
        <w:t xml:space="preserve"/>
      </w:r>
    </w:p>
    <w:p>
      <w:pPr>
        <w:pStyle w:val="Heading1"/>
      </w:pPr>
      <w:r>
        <w:rPr>
          <w:rFonts w:ascii="Arial" w:cs="Arial" w:eastAsia="Arial" w:hAnsi="Arial"/>
          <w:b/>
          <w:bCs/>
          <w:color w:val="1F3864"/>
          <w:sz w:val="36"/>
          <w:szCs w:val="36"/>
        </w:rPr>
        <w:t xml:space="preserve">2. Session 2 Recall Assessment</w:t>
      </w:r>
    </w:p>
    <w:p>
      <w:pPr>
        <w:spacing w:after="120"/>
      </w:pPr>
      <w:r>
        <w:rPr>
          <w:rFonts w:ascii="Arial" w:cs="Arial" w:eastAsia="Arial" w:hAnsi="Arial"/>
          <w:sz w:val="22"/>
          <w:szCs w:val="22"/>
        </w:rPr>
        <w:t xml:space="preserve">Session 3 opened with a structured recall check covering Session 2 material. Results: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Student Response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does the value line say inside modules/vpc/outputs.tf for vpc_id?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Described the concept correctly but did not state the specific syntax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 value = aws_vpc.main.id. Inside module: direct reference, no module prefix</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What specific line in terraform init proves the module was found?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vpc in ..\..\modules\vpc</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Correct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CIDR changes — how many files to edit?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environments/dev/main.tf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Incorrect — only modules/vpc/main.tf. One change propagates to all environments automatically</w:t>
            </w:r>
          </w:p>
        </w:tc>
      </w:tr>
    </w:tbl>
    <w:p>
      <w:pPr>
        <w:spacing w:after="120"/>
      </w:pPr>
      <w:r>
        <w:t xml:space="preserve"/>
      </w:r>
    </w:p>
    <w:p>
      <w:pPr>
        <w:spacing w:after="120"/>
      </w:pPr>
      <w:r>
        <w:rPr>
          <w:rFonts w:ascii="Arial" w:cs="Arial" w:eastAsia="Arial" w:hAnsi="Arial"/>
          <w:sz w:val="22"/>
          <w:szCs w:val="22"/>
        </w:rPr>
        <w:t xml:space="preserve">The Q3 error is the most important correction from the recall assessment. The entire value of the module pattern is that infrastructure changes are made once in the module and propagate to all environments automatically. Editing the environment file for a resource-level change defeats this purpose.</w:t>
      </w:r>
    </w:p>
    <w:p>
      <w:pPr>
        <w:spacing w:after="120"/>
      </w:pPr>
      <w:r>
        <w:t xml:space="preserve"/>
      </w:r>
    </w:p>
    <w:p>
      <w:pPr>
        <w:pStyle w:val="Heading1"/>
      </w:pPr>
      <w:r>
        <w:rPr>
          <w:rFonts w:ascii="Arial" w:cs="Arial" w:eastAsia="Arial" w:hAnsi="Arial"/>
          <w:b/>
          <w:bCs/>
          <w:color w:val="1F3864"/>
          <w:sz w:val="36"/>
          <w:szCs w:val="36"/>
        </w:rPr>
        <w:t xml:space="preserve">3. Session 3 Learning Objectives</w:t>
      </w:r>
    </w:p>
    <w:p>
      <w:pPr>
        <w:pStyle w:val="ListParagraph"/>
        <w:numPr>
          <w:ilvl w:val="0"/>
          <w:numId w:val="2"/>
        </w:numPr>
        <w:spacing w:after="80"/>
      </w:pPr>
      <w:r>
        <w:rPr>
          <w:rFonts w:ascii="Arial" w:cs="Arial" w:eastAsia="Arial" w:hAnsi="Arial"/>
          <w:b w:val="false"/>
          <w:bCs w:val="false"/>
          <w:sz w:val="22"/>
          <w:szCs w:val="22"/>
        </w:rPr>
        <w:t xml:space="preserve">Understand why private subnets exist and the security principle of Defence in Depth</w:t>
      </w:r>
    </w:p>
    <w:p>
      <w:pPr>
        <w:pStyle w:val="ListParagraph"/>
        <w:numPr>
          <w:ilvl w:val="0"/>
          <w:numId w:val="2"/>
        </w:numPr>
        <w:spacing w:after="80"/>
      </w:pPr>
      <w:r>
        <w:rPr>
          <w:rFonts w:ascii="Arial" w:cs="Arial" w:eastAsia="Arial" w:hAnsi="Arial"/>
          <w:b w:val="false"/>
          <w:bCs w:val="false"/>
          <w:sz w:val="22"/>
          <w:szCs w:val="22"/>
        </w:rPr>
        <w:t xml:space="preserve">Understand the role of NAT Gateway — outbound-only internet access for private resources</w:t>
      </w:r>
    </w:p>
    <w:p>
      <w:pPr>
        <w:pStyle w:val="ListParagraph"/>
        <w:numPr>
          <w:ilvl w:val="0"/>
          <w:numId w:val="2"/>
        </w:numPr>
        <w:spacing w:after="80"/>
      </w:pPr>
      <w:r>
        <w:rPr>
          <w:rFonts w:ascii="Arial" w:cs="Arial" w:eastAsia="Arial" w:hAnsi="Arial"/>
          <w:b w:val="false"/>
          <w:bCs w:val="false"/>
          <w:sz w:val="22"/>
          <w:szCs w:val="22"/>
        </w:rPr>
        <w:t xml:space="preserve">Understand Multi-AZ architecture and its role in High Availability</w:t>
      </w:r>
    </w:p>
    <w:p>
      <w:pPr>
        <w:pStyle w:val="ListParagraph"/>
        <w:numPr>
          <w:ilvl w:val="0"/>
          <w:numId w:val="2"/>
        </w:numPr>
        <w:spacing w:after="80"/>
      </w:pPr>
      <w:r>
        <w:rPr>
          <w:rFonts w:ascii="Arial" w:cs="Arial" w:eastAsia="Arial" w:hAnsi="Arial"/>
          <w:b w:val="false"/>
          <w:bCs w:val="false"/>
          <w:sz w:val="22"/>
          <w:szCs w:val="22"/>
        </w:rPr>
        <w:t xml:space="preserve">Learn the Terraform count meta-argument for creating multiple resources from a single block</w:t>
      </w:r>
    </w:p>
    <w:p>
      <w:pPr>
        <w:pStyle w:val="ListParagraph"/>
        <w:numPr>
          <w:ilvl w:val="0"/>
          <w:numId w:val="2"/>
        </w:numPr>
        <w:spacing w:after="80"/>
      </w:pPr>
      <w:r>
        <w:rPr>
          <w:rFonts w:ascii="Arial" w:cs="Arial" w:eastAsia="Arial" w:hAnsi="Arial"/>
          <w:b w:val="false"/>
          <w:bCs w:val="false"/>
          <w:sz w:val="22"/>
          <w:szCs w:val="22"/>
        </w:rPr>
        <w:t xml:space="preserve">Understand the splat expression [*] for collecting values from counted resources</w:t>
      </w:r>
    </w:p>
    <w:p>
      <w:pPr>
        <w:pStyle w:val="ListParagraph"/>
        <w:numPr>
          <w:ilvl w:val="0"/>
          <w:numId w:val="2"/>
        </w:numPr>
        <w:spacing w:after="80"/>
      </w:pPr>
      <w:r>
        <w:rPr>
          <w:rFonts w:ascii="Arial" w:cs="Arial" w:eastAsia="Arial" w:hAnsi="Arial"/>
          <w:b w:val="false"/>
          <w:bCs w:val="false"/>
          <w:sz w:val="22"/>
          <w:szCs w:val="22"/>
        </w:rPr>
        <w:t xml:space="preserve">Learn the depends_on meta-argument for explicit dependency ordering</w:t>
      </w:r>
    </w:p>
    <w:p>
      <w:pPr>
        <w:pStyle w:val="ListParagraph"/>
        <w:numPr>
          <w:ilvl w:val="0"/>
          <w:numId w:val="2"/>
        </w:numPr>
        <w:spacing w:after="80"/>
      </w:pPr>
      <w:r>
        <w:rPr>
          <w:rFonts w:ascii="Arial" w:cs="Arial" w:eastAsia="Arial" w:hAnsi="Arial"/>
          <w:b w:val="false"/>
          <w:bCs w:val="false"/>
          <w:sz w:val="22"/>
          <w:szCs w:val="22"/>
        </w:rPr>
        <w:t xml:space="preserve">Deploy a complete multi-AZ, public/private subnet architecture to live AWS</w:t>
      </w:r>
    </w:p>
    <w:p>
      <w:pPr>
        <w:pStyle w:val="ListParagraph"/>
        <w:numPr>
          <w:ilvl w:val="0"/>
          <w:numId w:val="2"/>
        </w:numPr>
        <w:spacing w:after="80"/>
      </w:pPr>
      <w:r>
        <w:rPr>
          <w:rFonts w:ascii="Arial" w:cs="Arial" w:eastAsia="Arial" w:hAnsi="Arial"/>
          <w:b w:val="false"/>
          <w:bCs w:val="false"/>
          <w:sz w:val="22"/>
          <w:szCs w:val="22"/>
        </w:rPr>
        <w:t xml:space="preserve">Verify the full routing chain: IGW → Public Subnet → NAT Gateway → Private Subnet</w:t>
      </w:r>
    </w:p>
    <w:p>
      <w:pPr>
        <w:spacing w:after="120"/>
      </w:pPr>
      <w:r>
        <w:t xml:space="preserve"/>
      </w:r>
    </w:p>
    <w:p>
      <w:pPr>
        <w:pStyle w:val="Heading1"/>
      </w:pPr>
      <w:r>
        <w:rPr>
          <w:rFonts w:ascii="Arial" w:cs="Arial" w:eastAsia="Arial" w:hAnsi="Arial"/>
          <w:b/>
          <w:bCs/>
          <w:color w:val="1F3864"/>
          <w:sz w:val="36"/>
          <w:szCs w:val="36"/>
        </w:rPr>
        <w:t xml:space="preserve">4. Concepts Covered</w:t>
      </w:r>
    </w:p>
    <w:p>
      <w:pPr>
        <w:pStyle w:val="Heading2"/>
      </w:pPr>
      <w:r>
        <w:rPr>
          <w:rFonts w:ascii="Arial" w:cs="Arial" w:eastAsia="Arial" w:hAnsi="Arial"/>
          <w:b/>
          <w:bCs/>
          <w:color w:val="2E75B6"/>
          <w:sz w:val="28"/>
          <w:szCs w:val="28"/>
        </w:rPr>
        <w:t xml:space="preserve">4.1 Why Private Subnets Exist</w:t>
      </w:r>
    </w:p>
    <w:p>
      <w:pPr>
        <w:spacing w:after="120"/>
      </w:pPr>
      <w:r>
        <w:rPr>
          <w:rFonts w:ascii="Arial" w:cs="Arial" w:eastAsia="Arial" w:hAnsi="Arial"/>
          <w:sz w:val="22"/>
          <w:szCs w:val="22"/>
        </w:rPr>
        <w:t xml:space="preserve">The core security limitation of a single-subnet architecture is attack surface exposure. In a public subnet connected to an Internet Gateway, every resource receives a public IP address and has a network route that allows the internet to attempt connections.</w:t>
      </w:r>
    </w:p>
    <w:p>
      <w:pPr>
        <w:spacing w:after="120"/>
      </w:pPr>
      <w:r>
        <w:rPr>
          <w:rFonts w:ascii="Arial" w:cs="Arial" w:eastAsia="Arial" w:hAnsi="Arial"/>
          <w:sz w:val="22"/>
          <w:szCs w:val="22"/>
        </w:rPr>
        <w:t xml:space="preserve">Security groups filter those attempts, but the attack surface exists. A misconfigured rule exposes the resource. In contrast, a private subnet has no public IP and no route from the internet — traffic cannot even begin the journey. There is nothing to filter because the network path does not exist.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Subnet 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Public IP</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Internet Route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Attack Surface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Subnet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Internet Gateway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Exists — SG is the only defence layer</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Private Subnet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Does not exist — network isolation prevents all inbound attempts</w:t>
            </w:r>
          </w:p>
        </w:tc>
      </w:tr>
    </w:tbl>
    <w:p>
      <w:pPr>
        <w:spacing w:after="120"/>
      </w:pPr>
      <w:r>
        <w:t xml:space="preserve"/>
      </w:r>
    </w:p>
    <w:p>
      <w:pPr>
        <w:spacing w:after="120"/>
      </w:pPr>
      <w:r>
        <w:rPr>
          <w:rFonts w:ascii="Arial" w:cs="Arial" w:eastAsia="Arial" w:hAnsi="Arial"/>
          <w:sz w:val="22"/>
          <w:szCs w:val="22"/>
        </w:rPr>
        <w:t xml:space="preserve">This established the principle of Defence in Depth — the professional standard for cloud architecture:</w:t>
      </w:r>
    </w:p>
    <w:p>
      <w:pPr>
        <w:pStyle w:val="ListParagraph"/>
        <w:numPr>
          <w:ilvl w:val="0"/>
          <w:numId w:val="2"/>
        </w:numPr>
        <w:spacing w:after="80"/>
      </w:pPr>
      <w:r>
        <w:rPr>
          <w:rFonts w:ascii="Arial" w:cs="Arial" w:eastAsia="Arial" w:hAnsi="Arial"/>
          <w:b w:val="false"/>
          <w:bCs w:val="false"/>
          <w:sz w:val="22"/>
          <w:szCs w:val="22"/>
        </w:rPr>
        <w:t xml:space="preserve">Security groups provide access control — filtering traffic that has a route to travel on</w:t>
      </w:r>
    </w:p>
    <w:p>
      <w:pPr>
        <w:pStyle w:val="ListParagraph"/>
        <w:numPr>
          <w:ilvl w:val="0"/>
          <w:numId w:val="2"/>
        </w:numPr>
        <w:spacing w:after="80"/>
      </w:pPr>
      <w:r>
        <w:rPr>
          <w:rFonts w:ascii="Arial" w:cs="Arial" w:eastAsia="Arial" w:hAnsi="Arial"/>
          <w:b w:val="false"/>
          <w:bCs w:val="false"/>
          <w:sz w:val="22"/>
          <w:szCs w:val="22"/>
        </w:rPr>
        <w:t xml:space="preserve">Private subnets provide network isolation — eliminating the route entirely</w:t>
      </w:r>
    </w:p>
    <w:p>
      <w:pPr>
        <w:pStyle w:val="ListParagraph"/>
        <w:numPr>
          <w:ilvl w:val="0"/>
          <w:numId w:val="2"/>
        </w:numPr>
        <w:spacing w:after="80"/>
      </w:pPr>
      <w:r>
        <w:rPr>
          <w:rFonts w:ascii="Arial" w:cs="Arial" w:eastAsia="Arial" w:hAnsi="Arial"/>
          <w:b w:val="false"/>
          <w:bCs w:val="false"/>
          <w:sz w:val="22"/>
          <w:szCs w:val="22"/>
        </w:rPr>
        <w:t xml:space="preserve">Professional architectures use both layers. Relying on security groups alone is insufficient for sensitive resources such as databases.</w:t>
      </w:r>
    </w:p>
    <w:p>
      <w:pPr>
        <w:spacing w:after="120"/>
      </w:pPr>
      <w:r>
        <w:t xml:space="preserve"/>
      </w:r>
    </w:p>
    <w:p>
      <w:pPr>
        <w:pStyle w:val="Heading2"/>
      </w:pPr>
      <w:r>
        <w:rPr>
          <w:rFonts w:ascii="Arial" w:cs="Arial" w:eastAsia="Arial" w:hAnsi="Arial"/>
          <w:b/>
          <w:bCs/>
          <w:color w:val="2E75B6"/>
          <w:sz w:val="28"/>
          <w:szCs w:val="28"/>
        </w:rPr>
        <w:t xml:space="preserve">4.2 NAT Gateway — Outbound-Only Internet Access</w:t>
      </w:r>
    </w:p>
    <w:p>
      <w:pPr>
        <w:spacing w:after="120"/>
      </w:pPr>
      <w:r>
        <w:rPr>
          <w:rFonts w:ascii="Arial" w:cs="Arial" w:eastAsia="Arial" w:hAnsi="Arial"/>
          <w:sz w:val="22"/>
          <w:szCs w:val="22"/>
        </w:rPr>
        <w:t xml:space="preserve">Private subnet resources sometimes need to initiate outbound internet connections — for example, downloading security patches or reaching external APIs. A NAT (Network Address Translation) Gateway solves this without exposing the resource to inbound connections.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Outbound (private → internet)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 — NAT Gateway translates private IP to its Elastic IP, forwards request, returns response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Inbound (internet → private)</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IMPOSSIBLE — no route into the private subnet exists. The return path goes only to the NAT Gateway, not the private resource</w:t>
            </w:r>
          </w:p>
        </w:tc>
      </w:tr>
    </w:tbl>
    <w:p>
      <w:pPr>
        <w:spacing w:after="120"/>
      </w:pPr>
      <w:r>
        <w:t xml:space="preserve"/>
      </w:r>
    </w:p>
    <w:p>
      <w:pPr>
        <w:spacing w:after="120"/>
      </w:pPr>
      <w:r>
        <w:rPr>
          <w:rFonts w:ascii="Arial" w:cs="Arial" w:eastAsia="Arial" w:hAnsi="Arial"/>
          <w:sz w:val="22"/>
          <w:szCs w:val="22"/>
        </w:rPr>
        <w:t xml:space="preserve">The NAT Gateway must be placed in a public subnet because it requires a public IP (Elastic IP) and a route to the Internet Gateway to forward traffic onward. A NAT Gateway in a private subnet would have no path to the internet and could not function.</w:t>
      </w:r>
    </w:p>
    <w:p>
      <w:pPr>
        <w:spacing w:after="120"/>
      </w:pPr>
      <w:r>
        <w:t xml:space="preserve"/>
      </w:r>
    </w:p>
    <w:p>
      <w:pPr>
        <w:pStyle w:val="Heading2"/>
      </w:pPr>
      <w:r>
        <w:rPr>
          <w:rFonts w:ascii="Arial" w:cs="Arial" w:eastAsia="Arial" w:hAnsi="Arial"/>
          <w:b/>
          <w:bCs/>
          <w:color w:val="2E75B6"/>
          <w:sz w:val="28"/>
          <w:szCs w:val="28"/>
        </w:rPr>
        <w:t xml:space="preserve">4.3 Route Table Separation</w:t>
      </w:r>
    </w:p>
    <w:p>
      <w:pPr>
        <w:spacing w:after="120"/>
      </w:pPr>
      <w:r>
        <w:rPr>
          <w:rFonts w:ascii="Arial" w:cs="Arial" w:eastAsia="Arial" w:hAnsi="Arial"/>
          <w:sz w:val="22"/>
          <w:szCs w:val="22"/>
        </w:rPr>
        <w:t xml:space="preserve">The two subnet types require two distinct route tables. This is the definitive routing pattern for production AWS architectures: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Subnet Type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Internet-bound Route (0.0.0.0/0)</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Local Route (VPC CIDR)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Subnet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 Gateway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(VPC internal)</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Private Subnet</w:t>
            </w:r>
          </w:p>
        </w:tc>
        <w:tc>
          <w:tcPr>
            <w:tcW w:type="dxa" w:w="351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NAT Gateway</w:t>
            </w:r>
          </w:p>
        </w:tc>
        <w:tc>
          <w:tcPr>
            <w:tcW w:type="dxa" w:w="351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Local (VPC internal)</w:t>
            </w:r>
          </w:p>
        </w:tc>
      </w:tr>
    </w:tbl>
    <w:p>
      <w:pPr>
        <w:spacing w:after="120"/>
      </w:pPr>
      <w:r>
        <w:t xml:space="preserve"/>
      </w:r>
    </w:p>
    <w:p>
      <w:pPr>
        <w:spacing w:after="120"/>
      </w:pPr>
      <w:r>
        <w:rPr>
          <w:rFonts w:ascii="Arial" w:cs="Arial" w:eastAsia="Arial" w:hAnsi="Arial"/>
          <w:sz w:val="22"/>
          <w:szCs w:val="22"/>
        </w:rPr>
        <w:t xml:space="preserve">The local route is present in both route tables automatically and covers all internal VPC traffic. The 0.0.0.0/0 route determines where internet-bound traffic exits — and this is the only difference between public and private routing.</w:t>
      </w:r>
    </w:p>
    <w:p>
      <w:pPr>
        <w:spacing w:after="120"/>
      </w:pPr>
      <w:r>
        <w:t xml:space="preserve"/>
      </w:r>
    </w:p>
    <w:p>
      <w:pPr>
        <w:pStyle w:val="Heading2"/>
      </w:pPr>
      <w:r>
        <w:rPr>
          <w:rFonts w:ascii="Arial" w:cs="Arial" w:eastAsia="Arial" w:hAnsi="Arial"/>
          <w:b/>
          <w:bCs/>
          <w:color w:val="2E75B6"/>
          <w:sz w:val="28"/>
          <w:szCs w:val="28"/>
        </w:rPr>
        <w:t xml:space="preserve">4.4 Multi-AZ Architecture and High Availability</w:t>
      </w:r>
    </w:p>
    <w:p>
      <w:pPr>
        <w:spacing w:after="120"/>
      </w:pPr>
      <w:r>
        <w:rPr>
          <w:rFonts w:ascii="Arial" w:cs="Arial" w:eastAsia="Arial" w:hAnsi="Arial"/>
          <w:sz w:val="22"/>
          <w:szCs w:val="22"/>
        </w:rPr>
        <w:t xml:space="preserve">An Availability Zone is a physically separate data centre within an AWS region — with independent power, cooling, and network connections. A single-AZ deployment creates a single point of failure: if that AZ experiences an outage, all resources in it become unavailable.</w:t>
      </w:r>
    </w:p>
    <w:p>
      <w:pPr>
        <w:spacing w:after="120"/>
      </w:pPr>
      <w:r>
        <w:rPr>
          <w:rFonts w:ascii="Arial" w:cs="Arial" w:eastAsia="Arial" w:hAnsi="Arial"/>
          <w:sz w:val="22"/>
          <w:szCs w:val="22"/>
        </w:rPr>
        <w:t xml:space="preserve">Multi-AZ architecture spreads resources across two or more AZs. If one AZ fails, resources in the other continue operating. From the application's perspective, the service remains available. This is the AWS High Availability standard for all production workloads.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AZ Failure Impact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AZ</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service outage — no redundancy</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Multi-AZ (2+)</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Partial resource loss — other AZ absorbs traffic, service continues</w:t>
            </w:r>
          </w:p>
        </w:tc>
      </w:tr>
    </w:tbl>
    <w:p>
      <w:pPr>
        <w:spacing w:after="120"/>
      </w:pPr>
      <w:r>
        <w:t xml:space="preserve"/>
      </w:r>
    </w:p>
    <w:p>
      <w:pPr>
        <w:pStyle w:val="Heading2"/>
      </w:pPr>
      <w:r>
        <w:rPr>
          <w:rFonts w:ascii="Arial" w:cs="Arial" w:eastAsia="Arial" w:hAnsi="Arial"/>
          <w:b/>
          <w:bCs/>
          <w:color w:val="2E75B6"/>
          <w:sz w:val="28"/>
          <w:szCs w:val="28"/>
        </w:rPr>
        <w:t xml:space="preserve">4.5 The count Meta-Argument</w:t>
      </w:r>
    </w:p>
    <w:p>
      <w:pPr>
        <w:spacing w:after="120"/>
      </w:pPr>
      <w:r>
        <w:rPr>
          <w:rFonts w:ascii="Arial" w:cs="Arial" w:eastAsia="Arial" w:hAnsi="Arial"/>
          <w:sz w:val="22"/>
          <w:szCs w:val="22"/>
        </w:rPr>
        <w:t xml:space="preserve">The count meta-argument instructs Terraform to create multiple instances of a resource from a single resource block. It eliminates the need to write duplicate resource declarations for resources that share the same configuration pattern but differ only in specific values.</w:t>
      </w:r>
    </w:p>
    <w:p>
      <w:pPr>
        <w:spacing w:after="120"/>
      </w:pPr>
      <w:r>
        <w:t xml:space="preserve"/>
      </w:r>
    </w:p>
    <w:p>
      <w:pPr>
        <w:shd w:fill="F2F2F2" w:val="clear"/>
        <w:spacing w:after="60" w:before="60"/>
      </w:pPr>
      <w:r>
        <w:rPr>
          <w:rFonts w:ascii="Courier New" w:cs="Courier New" w:eastAsia="Courier New" w:hAnsi="Courier New"/>
          <w:sz w:val="18"/>
          <w:szCs w:val="18"/>
        </w:rPr>
        <w:t xml:space="preserve">resource "aws_subnet" "public" {</w:t>
      </w:r>
    </w:p>
    <w:p>
      <w:pPr>
        <w:shd w:fill="F2F2F2" w:val="clear"/>
        <w:spacing w:after="60" w:before="60"/>
      </w:pPr>
      <w:r>
        <w:rPr>
          <w:rFonts w:ascii="Courier New" w:cs="Courier New" w:eastAsia="Courier New" w:hAnsi="Courier New"/>
          <w:sz w:val="18"/>
          <w:szCs w:val="18"/>
        </w:rPr>
        <w:t xml:space="preserve">  count             = length(var.public_subnet_cidrs)</w:t>
      </w:r>
    </w:p>
    <w:p>
      <w:pPr>
        <w:shd w:fill="F2F2F2" w:val="clear"/>
        <w:spacing w:after="60" w:before="60"/>
      </w:pPr>
      <w:r>
        <w:rPr>
          <w:rFonts w:ascii="Courier New" w:cs="Courier New" w:eastAsia="Courier New" w:hAnsi="Courier New"/>
          <w:sz w:val="18"/>
          <w:szCs w:val="18"/>
        </w:rPr>
        <w:t xml:space="preserve">  vpc_id            = aws_vpc.main.id</w:t>
      </w:r>
    </w:p>
    <w:p>
      <w:pPr>
        <w:shd w:fill="F2F2F2" w:val="clear"/>
        <w:spacing w:after="60" w:before="60"/>
      </w:pPr>
      <w:r>
        <w:rPr>
          <w:rFonts w:ascii="Courier New" w:cs="Courier New" w:eastAsia="Courier New" w:hAnsi="Courier New"/>
          <w:sz w:val="18"/>
          <w:szCs w:val="18"/>
        </w:rPr>
        <w:t xml:space="preserve">  cidr_block        = var.public_subnet_cidrs[count.index]</w:t>
      </w:r>
    </w:p>
    <w:p>
      <w:pPr>
        <w:shd w:fill="F2F2F2" w:val="clear"/>
        <w:spacing w:after="60" w:before="60"/>
      </w:pPr>
      <w:r>
        <w:rPr>
          <w:rFonts w:ascii="Courier New" w:cs="Courier New" w:eastAsia="Courier New" w:hAnsi="Courier New"/>
          <w:sz w:val="18"/>
          <w:szCs w:val="18"/>
        </w:rPr>
        <w:t xml:space="preserve">  availability_zone = var.availability_zones[count.index]</w:t>
      </w:r>
    </w:p>
    <w:p>
      <w:pPr>
        <w:shd w:fill="F2F2F2" w:val="clear"/>
        <w:spacing w:after="60" w:before="60"/>
      </w:pPr>
      <w:r>
        <w:rPr>
          <w:rFonts w:ascii="Courier New" w:cs="Courier New" w:eastAsia="Courier New" w:hAnsi="Courier New"/>
          <w:sz w:val="18"/>
          <w:szCs w:val="18"/>
        </w:rPr>
        <w:t xml:space="preser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 length(var.list)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the resource once for each item in the list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count.index</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current iteration number — 0 on first pass, 1 on second, 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var.list[count.index]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indexing — picks the correct value for each iteration</w:t>
            </w:r>
          </w:p>
        </w:tc>
      </w:tr>
    </w:tbl>
    <w:p>
      <w:pPr>
        <w:spacing w:after="120"/>
      </w:pPr>
      <w:r>
        <w:t xml:space="preserve"/>
      </w:r>
    </w:p>
    <w:p>
      <w:pPr>
        <w:spacing w:after="120"/>
      </w:pPr>
      <w:r>
        <w:rPr>
          <w:rFonts w:ascii="Arial" w:cs="Arial" w:eastAsia="Arial" w:hAnsi="Arial"/>
          <w:sz w:val="22"/>
          <w:szCs w:val="22"/>
        </w:rPr>
        <w:t xml:space="preserve">With a list of two CIDRs, Terraform creates two subnets automatically. With a list of three, three subnets. The same module code supports any number of AZs without modification — only the input list changes.</w:t>
      </w:r>
    </w:p>
    <w:p>
      <w:pPr>
        <w:spacing w:after="120"/>
      </w:pPr>
      <w:r>
        <w:t xml:space="preserve"/>
      </w:r>
    </w:p>
    <w:p>
      <w:pPr>
        <w:pStyle w:val="Heading2"/>
      </w:pPr>
      <w:r>
        <w:rPr>
          <w:rFonts w:ascii="Arial" w:cs="Arial" w:eastAsia="Arial" w:hAnsi="Arial"/>
          <w:b/>
          <w:bCs/>
          <w:color w:val="2E75B6"/>
          <w:sz w:val="28"/>
          <w:szCs w:val="28"/>
        </w:rPr>
        <w:t xml:space="preserve">4.6 Splat Expression [*]</w:t>
      </w:r>
    </w:p>
    <w:p>
      <w:pPr>
        <w:spacing w:after="120"/>
      </w:pPr>
      <w:r>
        <w:rPr>
          <w:rFonts w:ascii="Arial" w:cs="Arial" w:eastAsia="Arial" w:hAnsi="Arial"/>
          <w:sz w:val="22"/>
          <w:szCs w:val="22"/>
        </w:rPr>
        <w:t xml:space="preserve">When a resource is created with count, it becomes a list of resource instances rather than a single resource. The splat expression [*] collects a specific attribute from every instance in that list and returns them as a single list value — useful for outputs and passing multiple IDs to other resources.</w:t>
      </w:r>
    </w:p>
    <w:p>
      <w:pPr>
        <w:spacing w:after="120"/>
      </w:pPr>
      <w:r>
        <w:t xml:space="preserve"/>
      </w:r>
    </w:p>
    <w:p>
      <w:pPr>
        <w:shd w:fill="F2F2F2" w:val="clear"/>
        <w:spacing w:after="60" w:before="60"/>
      </w:pPr>
      <w:r>
        <w:rPr>
          <w:rFonts w:ascii="Courier New" w:cs="Courier New" w:eastAsia="Courier New" w:hAnsi="Courier New"/>
          <w:sz w:val="18"/>
          <w:szCs w:val="18"/>
        </w:rPr>
        <w:t xml:space="preserve">output "public_subnet_ids" {</w:t>
      </w:r>
    </w:p>
    <w:p>
      <w:pPr>
        <w:shd w:fill="F2F2F2" w:val="clear"/>
        <w:spacing w:after="60" w:before="60"/>
      </w:pPr>
      <w:r>
        <w:rPr>
          <w:rFonts w:ascii="Courier New" w:cs="Courier New" w:eastAsia="Courier New" w:hAnsi="Courier New"/>
          <w:sz w:val="18"/>
          <w:szCs w:val="18"/>
        </w:rPr>
        <w:t xml:space="preserve">  value = aws_subnet.public[*].id</w:t>
      </w:r>
    </w:p>
    <w:p>
      <w:pPr>
        <w:shd w:fill="F2F2F2" w:val="clear"/>
        <w:spacing w:after="60" w:before="60"/>
      </w:pPr>
      <w:r>
        <w:rPr>
          <w:rFonts w:ascii="Courier New" w:cs="Courier New" w:eastAsia="Courier New" w:hAnsi="Courier New"/>
          <w:sz w:val="18"/>
          <w:szCs w:val="18"/>
        </w:rPr>
        <w:t xml:space="preserve">  # Returns: ["subnet-abc123", "subnet-def456"]</w:t>
      </w:r>
    </w:p>
    <w:p>
      <w:pPr>
        <w:shd w:fill="F2F2F2" w:val="clear"/>
        <w:spacing w:after="60" w:before="60"/>
      </w:pPr>
      <w:r>
        <w:rPr>
          <w:rFonts w:ascii="Courier New" w:cs="Courier New" w:eastAsia="Courier New" w:hAnsi="Courier New"/>
          <w:sz w:val="18"/>
          <w:szCs w:val="18"/>
        </w:rPr>
        <w:t xml:space="preserve">}</w:t>
      </w:r>
    </w:p>
    <w:p>
      <w:pPr>
        <w:spacing w:after="120"/>
      </w:pPr>
      <w:r>
        <w:t xml:space="preserve"/>
      </w:r>
    </w:p>
    <w:p>
      <w:pPr>
        <w:spacing w:after="120"/>
      </w:pPr>
      <w:r>
        <w:rPr>
          <w:rFonts w:ascii="Arial" w:cs="Arial" w:eastAsia="Arial" w:hAnsi="Arial"/>
          <w:sz w:val="22"/>
          <w:szCs w:val="22"/>
        </w:rPr>
        <w:t xml:space="preserve">To reference a specific instance from a counted resource, use index notation:</w:t>
      </w:r>
    </w:p>
    <w:p>
      <w:pPr>
        <w:shd w:fill="F2F2F2" w:val="clear"/>
        <w:spacing w:after="60" w:before="60"/>
      </w:pPr>
      <w:r>
        <w:rPr>
          <w:rFonts w:ascii="Courier New" w:cs="Courier New" w:eastAsia="Courier New" w:hAnsi="Courier New"/>
          <w:sz w:val="18"/>
          <w:szCs w:val="18"/>
        </w:rPr>
        <w:t xml:space="preserve">subnet_id = aws_subnet.public[0].id   # first public subnet</w:t>
      </w:r>
    </w:p>
    <w:p>
      <w:pPr>
        <w:shd w:fill="F2F2F2" w:val="clear"/>
        <w:spacing w:after="60" w:before="60"/>
      </w:pPr>
      <w:r>
        <w:rPr>
          <w:rFonts w:ascii="Courier New" w:cs="Courier New" w:eastAsia="Courier New" w:hAnsi="Courier New"/>
          <w:sz w:val="18"/>
          <w:szCs w:val="18"/>
        </w:rPr>
        <w:t xml:space="preserve">subnet_id = aws_subnet.public[1].id   # second public subnet</w:t>
      </w:r>
    </w:p>
    <w:p>
      <w:pPr>
        <w:spacing w:after="120"/>
      </w:pPr>
      <w:r>
        <w:t xml:space="preserve"/>
      </w:r>
    </w:p>
    <w:p>
      <w:pPr>
        <w:pStyle w:val="Heading2"/>
      </w:pPr>
      <w:r>
        <w:rPr>
          <w:rFonts w:ascii="Arial" w:cs="Arial" w:eastAsia="Arial" w:hAnsi="Arial"/>
          <w:b/>
          <w:bCs/>
          <w:color w:val="2E75B6"/>
          <w:sz w:val="28"/>
          <w:szCs w:val="28"/>
        </w:rPr>
        <w:t xml:space="preserve">4.7 The depends_on Meta-Argument</w:t>
      </w:r>
    </w:p>
    <w:p>
      <w:pPr>
        <w:spacing w:after="120"/>
      </w:pPr>
      <w:r>
        <w:rPr>
          <w:rFonts w:ascii="Arial" w:cs="Arial" w:eastAsia="Arial" w:hAnsi="Arial"/>
          <w:sz w:val="22"/>
          <w:szCs w:val="22"/>
        </w:rPr>
        <w:t xml:space="preserve">Terraform infers resource dependency order from resource references. When resource B references resource A, Terraform creates A first. However, some AWS provider behaviours create implicit dependencies that Terraform cannot detect from references alone.</w:t>
      </w:r>
    </w:p>
    <w:p>
      <w:pPr>
        <w:spacing w:after="120"/>
      </w:pPr>
      <w:r>
        <w:rPr>
          <w:rFonts w:ascii="Arial" w:cs="Arial" w:eastAsia="Arial" w:hAnsi="Arial"/>
          <w:sz w:val="22"/>
          <w:szCs w:val="22"/>
        </w:rPr>
        <w:t xml:space="preserve">The NAT Gateway requires the Internet Gateway to be fully attached to the VPC before it can be provisioned. Because the NAT Gateway references the EIP and the public subnet — not the IGW directly — Terraform cannot detect this dependency automatically. The depends_on meta-argument makes it explicit:</w:t>
      </w:r>
    </w:p>
    <w:p>
      <w:pPr>
        <w:spacing w:after="120"/>
      </w:pPr>
      <w:r>
        <w:t xml:space="preserve"/>
      </w:r>
    </w:p>
    <w:p>
      <w:pPr>
        <w:shd w:fill="F2F2F2" w:val="clear"/>
        <w:spacing w:after="60" w:before="60"/>
      </w:pPr>
      <w:r>
        <w:rPr>
          <w:rFonts w:ascii="Courier New" w:cs="Courier New" w:eastAsia="Courier New" w:hAnsi="Courier New"/>
          <w:sz w:val="18"/>
          <w:szCs w:val="18"/>
        </w:rPr>
        <w:t xml:space="preserve">resource "aws_nat_gateway" "nat" {</w:t>
      </w:r>
    </w:p>
    <w:p>
      <w:pPr>
        <w:shd w:fill="F2F2F2" w:val="clear"/>
        <w:spacing w:after="60" w:before="60"/>
      </w:pPr>
      <w:r>
        <w:rPr>
          <w:rFonts w:ascii="Courier New" w:cs="Courier New" w:eastAsia="Courier New" w:hAnsi="Courier New"/>
          <w:sz w:val="18"/>
          <w:szCs w:val="18"/>
        </w:rPr>
        <w:t xml:space="preserve">  allocation_id = aws_eip.nat_eip.id</w:t>
      </w:r>
    </w:p>
    <w:p>
      <w:pPr>
        <w:shd w:fill="F2F2F2" w:val="clear"/>
        <w:spacing w:after="60" w:before="60"/>
      </w:pPr>
      <w:r>
        <w:rPr>
          <w:rFonts w:ascii="Courier New" w:cs="Courier New" w:eastAsia="Courier New" w:hAnsi="Courier New"/>
          <w:sz w:val="18"/>
          <w:szCs w:val="18"/>
        </w:rPr>
        <w:t xml:space="preserve">  subnet_id     = aws_subnet.public[0].id</w:t>
      </w:r>
    </w:p>
    <w:p>
      <w:pPr>
        <w:shd w:fill="F2F2F2" w:val="clear"/>
        <w:spacing w:after="60" w:before="60"/>
      </w:pPr>
      <w:r>
        <w:rPr>
          <w:rFonts w:ascii="Courier New" w:cs="Courier New" w:eastAsia="Courier New" w:hAnsi="Courier New"/>
          <w:sz w:val="18"/>
          <w:szCs w:val="18"/>
        </w:rPr>
        <w:t xml:space="preserve">  depends_on    = [aws_internet_gateway.gw]  # explicit dependency</w:t>
      </w:r>
    </w:p>
    <w:p>
      <w:pPr>
        <w:shd w:fill="F2F2F2" w:val="clear"/>
        <w:spacing w:after="60" w:before="60"/>
      </w:pPr>
      <w:r>
        <w:rPr>
          <w:rFonts w:ascii="Courier New" w:cs="Courier New" w:eastAsia="Courier New" w:hAnsi="Courier New"/>
          <w:sz w:val="18"/>
          <w:szCs w:val="18"/>
        </w:rPr>
        <w:t xml:space="preserve">}</w:t>
      </w:r>
    </w:p>
    <w:p>
      <w:pPr>
        <w:spacing w:after="120"/>
      </w:pPr>
      <w:r>
        <w:t xml:space="preserve"/>
      </w:r>
    </w:p>
    <w:p>
      <w:pPr>
        <w:spacing w:after="120"/>
      </w:pPr>
      <w:r>
        <w:rPr>
          <w:rFonts w:ascii="Arial" w:cs="Arial" w:eastAsia="Arial" w:hAnsi="Arial"/>
          <w:sz w:val="22"/>
          <w:szCs w:val="22"/>
        </w:rPr>
        <w:t xml:space="preserve">Without depends_on, terraform apply can fail intermittently with an AWS API error when the NAT Gateway attempts to provision before the IGW attachment completes. This is a known provider-specific behaviour that experienced engineers account for proactively.</w:t>
      </w:r>
    </w:p>
    <w:p>
      <w:pPr>
        <w:spacing w:after="120"/>
      </w:pPr>
      <w:r>
        <w:t xml:space="preserve"/>
      </w:r>
    </w:p>
    <w:p>
      <w:pPr>
        <w:pStyle w:val="Heading1"/>
      </w:pPr>
      <w:r>
        <w:rPr>
          <w:rFonts w:ascii="Arial" w:cs="Arial" w:eastAsia="Arial" w:hAnsi="Arial"/>
          <w:b/>
          <w:bCs/>
          <w:color w:val="1F3864"/>
          <w:sz w:val="36"/>
          <w:szCs w:val="36"/>
        </w:rPr>
        <w:t xml:space="preserve">5. Target Architecture</w:t>
      </w:r>
    </w:p>
    <w:p>
      <w:pPr>
        <w:spacing w:after="120"/>
      </w:pPr>
      <w:r>
        <w:rPr>
          <w:rFonts w:ascii="Arial" w:cs="Arial" w:eastAsia="Arial" w:hAnsi="Arial"/>
          <w:sz w:val="22"/>
          <w:szCs w:val="22"/>
        </w:rPr>
        <w:t xml:space="preserve">The architecture built in Session 3 represents the standard production AWS networking baseline — a multi-AZ VPC with public and private subnet separation:</w:t>
      </w:r>
    </w:p>
    <w:p>
      <w:pPr>
        <w:spacing w:after="120"/>
      </w:pPr>
      <w:r>
        <w:t xml:space="preserve"/>
      </w:r>
    </w:p>
    <w:p>
      <w:pPr>
        <w:shd w:fill="F2F2F2" w:val="clear"/>
        <w:spacing w:after="60" w:before="60"/>
      </w:pPr>
      <w:r>
        <w:rPr>
          <w:rFonts w:ascii="Courier New" w:cs="Courier New" w:eastAsia="Courier New" w:hAnsi="Courier New"/>
          <w:sz w:val="18"/>
          <w:szCs w:val="18"/>
        </w:rPr>
        <w:t xml:space="preserve">                        Internet</w:t>
      </w:r>
    </w:p>
    <w:p>
      <w:pPr>
        <w:shd w:fill="F2F2F2" w:val="clear"/>
        <w:spacing w:after="60" w:before="60"/>
      </w:pPr>
      <w:r>
        <w:rPr>
          <w:rFonts w:ascii="Courier New" w:cs="Courier New" w:eastAsia="Courier New" w:hAnsi="Courier New"/>
          <w:sz w:val="18"/>
          <w:szCs w:val="18"/>
        </w:rPr>
        <w:t xml:space="preserve">                           |</w:t>
      </w:r>
    </w:p>
    <w:p>
      <w:pPr>
        <w:shd w:fill="F2F2F2" w:val="clear"/>
        <w:spacing w:after="60" w:before="60"/>
      </w:pPr>
      <w:r>
        <w:rPr>
          <w:rFonts w:ascii="Courier New" w:cs="Courier New" w:eastAsia="Courier New" w:hAnsi="Courier New"/>
          <w:sz w:val="18"/>
          <w:szCs w:val="18"/>
        </w:rPr>
        <w:t xml:space="preserve">               Internet Gateway</w:t>
      </w:r>
    </w:p>
    <w:p>
      <w:pPr>
        <w:shd w:fill="F2F2F2" w:val="clear"/>
        <w:spacing w:after="60" w:before="60"/>
      </w:pPr>
      <w:r>
        <w:rPr>
          <w:rFonts w:ascii="Courier New" w:cs="Courier New" w:eastAsia="Courier New" w:hAnsi="Courier New"/>
          <w:sz w:val="18"/>
          <w:szCs w:val="18"/>
        </w:rPr>
        <w:t xml:space="preserve">                           |</w:t>
      </w:r>
    </w:p>
    <w:p>
      <w:pPr>
        <w:shd w:fill="F2F2F2" w:val="clear"/>
        <w:spacing w:after="60" w:before="60"/>
      </w:pPr>
      <w:r>
        <w:rPr>
          <w:rFonts w:ascii="Courier New" w:cs="Courier New" w:eastAsia="Courier New" w:hAnsi="Courier New"/>
          <w:sz w:val="18"/>
          <w:szCs w:val="18"/>
        </w:rPr>
        <w:t xml:space="preserve">  +--------------------------------+--------------------------------+</w:t>
      </w:r>
    </w:p>
    <w:p>
      <w:pPr>
        <w:shd w:fill="F2F2F2" w:val="clear"/>
        <w:spacing w:after="60" w:before="60"/>
      </w:pPr>
      <w:r>
        <w:rPr>
          <w:rFonts w:ascii="Courier New" w:cs="Courier New" w:eastAsia="Courier New" w:hAnsi="Courier New"/>
          <w:sz w:val="18"/>
          <w:szCs w:val="18"/>
        </w:rPr>
        <w:t xml:space="preserve">  |         us-east-1a             |         us-east-1b             |</w:t>
      </w:r>
    </w:p>
    <w:p>
      <w:pPr>
        <w:shd w:fill="F2F2F2" w:val="clear"/>
        <w:spacing w:after="60" w:before="60"/>
      </w:pPr>
      <w:r>
        <w:rPr>
          <w:rFonts w:ascii="Courier New" w:cs="Courier New" w:eastAsia="Courier New" w:hAnsi="Courier New"/>
          <w:sz w:val="18"/>
          <w:szCs w:val="18"/>
        </w:rPr>
        <w:t xml:space="preserve">  |   Public Subnet 10.10.1.0/24   |   Public Subnet 10.10.3.0/24  |</w:t>
      </w:r>
    </w:p>
    <w:p>
      <w:pPr>
        <w:shd w:fill="F2F2F2" w:val="clear"/>
        <w:spacing w:after="60" w:before="60"/>
      </w:pPr>
      <w:r>
        <w:rPr>
          <w:rFonts w:ascii="Courier New" w:cs="Courier New" w:eastAsia="Courier New" w:hAnsi="Courier New"/>
          <w:sz w:val="18"/>
          <w:szCs w:val="18"/>
        </w:rPr>
        <w:t xml:space="preserve">  |         NAT Gateway            |                                |</w:t>
      </w:r>
    </w:p>
    <w:p>
      <w:pPr>
        <w:shd w:fill="F2F2F2" w:val="clear"/>
        <w:spacing w:after="60" w:before="60"/>
      </w:pPr>
      <w:r>
        <w:rPr>
          <w:rFonts w:ascii="Courier New" w:cs="Courier New" w:eastAsia="Courier New" w:hAnsi="Courier New"/>
          <w:sz w:val="18"/>
          <w:szCs w:val="18"/>
        </w:rPr>
        <w:t xml:space="preserve">  +----------------+---------------+--------------------------------+</w:t>
      </w:r>
    </w:p>
    <w:p>
      <w:pPr>
        <w:shd w:fill="F2F2F2" w:val="clear"/>
        <w:spacing w:after="60" w:before="60"/>
      </w:pPr>
      <w:r>
        <w:rPr>
          <w:rFonts w:ascii="Courier New" w:cs="Courier New" w:eastAsia="Courier New" w:hAnsi="Courier New"/>
          <w:sz w:val="18"/>
          <w:szCs w:val="18"/>
        </w:rPr>
        <w:t xml:space="preserve">                   |</w:t>
      </w:r>
    </w:p>
    <w:p>
      <w:pPr>
        <w:shd w:fill="F2F2F2" w:val="clear"/>
        <w:spacing w:after="60" w:before="60"/>
      </w:pPr>
      <w:r>
        <w:rPr>
          <w:rFonts w:ascii="Courier New" w:cs="Courier New" w:eastAsia="Courier New" w:hAnsi="Courier New"/>
          <w:sz w:val="18"/>
          <w:szCs w:val="18"/>
        </w:rPr>
        <w:t xml:space="preserve">  +----------------+---------------+--------------------------------+</w:t>
      </w:r>
    </w:p>
    <w:p>
      <w:pPr>
        <w:shd w:fill="F2F2F2" w:val="clear"/>
        <w:spacing w:after="60" w:before="60"/>
      </w:pPr>
      <w:r>
        <w:rPr>
          <w:rFonts w:ascii="Courier New" w:cs="Courier New" w:eastAsia="Courier New" w:hAnsi="Courier New"/>
          <w:sz w:val="18"/>
          <w:szCs w:val="18"/>
        </w:rPr>
        <w:t xml:space="preserve">  |         us-east-1a             |         us-east-1b             |</w:t>
      </w:r>
    </w:p>
    <w:p>
      <w:pPr>
        <w:shd w:fill="F2F2F2" w:val="clear"/>
        <w:spacing w:after="60" w:before="60"/>
      </w:pPr>
      <w:r>
        <w:rPr>
          <w:rFonts w:ascii="Courier New" w:cs="Courier New" w:eastAsia="Courier New" w:hAnsi="Courier New"/>
          <w:sz w:val="18"/>
          <w:szCs w:val="18"/>
        </w:rPr>
        <w:t xml:space="preserve">  |  Private Subnet 10.10.2.0/24   |  Private Subnet 10.10.4.0/24  |</w:t>
      </w:r>
    </w:p>
    <w:p>
      <w:pPr>
        <w:shd w:fill="F2F2F2" w:val="clear"/>
        <w:spacing w:after="60" w:before="60"/>
      </w:pPr>
      <w:r>
        <w:rPr>
          <w:rFonts w:ascii="Courier New" w:cs="Courier New" w:eastAsia="Courier New" w:hAnsi="Courier New"/>
          <w:sz w:val="18"/>
          <w:szCs w:val="18"/>
        </w:rPr>
        <w:t xml:space="preserve">  |     Application Servers        |      Application Servers       |</w:t>
      </w:r>
    </w:p>
    <w:p>
      <w:pPr>
        <w:shd w:fill="F2F2F2" w:val="clear"/>
        <w:spacing w:after="60" w:before="60"/>
      </w:pPr>
      <w:r>
        <w:rPr>
          <w:rFonts w:ascii="Courier New" w:cs="Courier New" w:eastAsia="Courier New" w:hAnsi="Courier New"/>
          <w:sz w:val="18"/>
          <w:szCs w:val="18"/>
        </w:rPr>
        <w:t xml:space="preserve">  |     Database Servers           |      Database Servers          |</w:t>
      </w:r>
    </w:p>
    <w:p>
      <w:pPr>
        <w:shd w:fill="F2F2F2" w:val="clear"/>
        <w:spacing w:after="60" w:before="60"/>
      </w:pPr>
      <w:r>
        <w:rPr>
          <w:rFonts w:ascii="Courier New" w:cs="Courier New" w:eastAsia="Courier New" w:hAnsi="Courier New"/>
          <w:sz w:val="18"/>
          <w:szCs w:val="18"/>
        </w:rPr>
        <w:t xml:space="preserve">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585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8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VPC</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Isolated network boundary — 10.10.0.0/16</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Public Subnets</w:t>
            </w:r>
          </w:p>
        </w:tc>
        <w:tc>
          <w:tcPr>
            <w:tcW w:type="dxa" w:w="117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w:t>
            </w:r>
          </w:p>
        </w:tc>
        <w:tc>
          <w:tcPr>
            <w:tcW w:type="dxa" w:w="58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One per AZ — hosts NAT Gateway and internet-facing resources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Subnets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per AZ — hosts application and database servers</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Internet Gateway</w:t>
            </w:r>
          </w:p>
        </w:tc>
        <w:tc>
          <w:tcPr>
            <w:tcW w:type="dxa" w:w="117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w:t>
            </w:r>
          </w:p>
        </w:tc>
        <w:tc>
          <w:tcPr>
            <w:tcW w:type="dxa" w:w="58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VPC connection to public internet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 Gateway</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Outbound-only internet access for private subnets (placed in public subnet [0])</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Elastic IP</w:t>
            </w:r>
          </w:p>
        </w:tc>
        <w:tc>
          <w:tcPr>
            <w:tcW w:type="dxa" w:w="117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w:t>
            </w:r>
          </w:p>
        </w:tc>
        <w:tc>
          <w:tcPr>
            <w:tcW w:type="dxa" w:w="58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Static public IP assigned to the NAT Gateway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Route Table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Routes 0.0.0.0/0 to Internet Gateway — associated with both public subnets</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Private Route Table</w:t>
            </w:r>
          </w:p>
        </w:tc>
        <w:tc>
          <w:tcPr>
            <w:tcW w:type="dxa" w:w="117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w:t>
            </w:r>
          </w:p>
        </w:tc>
        <w:tc>
          <w:tcPr>
            <w:tcW w:type="dxa" w:w="585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Routes 0.0.0.0/0 to NAT Gateway — associated with both private subnets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Group</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SG: HTTPS (443) open, SSH (22) restricted to 10.0.0.0/8</w:t>
            </w:r>
          </w:p>
        </w:tc>
      </w:tr>
    </w:tbl>
    <w:p>
      <w:pPr>
        <w:spacing w:after="120"/>
      </w:pPr>
      <w:r>
        <w:t xml:space="preserve"/>
      </w:r>
    </w:p>
    <w:p>
      <w:pPr>
        <w:pStyle w:val="Heading1"/>
      </w:pPr>
      <w:r>
        <w:rPr>
          <w:rFonts w:ascii="Arial" w:cs="Arial" w:eastAsia="Arial" w:hAnsi="Arial"/>
          <w:b/>
          <w:bCs/>
          <w:color w:val="1F3864"/>
          <w:sz w:val="36"/>
          <w:szCs w:val="36"/>
        </w:rPr>
        <w:t xml:space="preserve">6. Files Authored in Session 3</w:t>
      </w:r>
    </w:p>
    <w:p>
      <w:pPr>
        <w:pStyle w:val="Heading2"/>
      </w:pPr>
      <w:r>
        <w:rPr>
          <w:rFonts w:ascii="Arial" w:cs="Arial" w:eastAsia="Arial" w:hAnsi="Arial"/>
          <w:b/>
          <w:bCs/>
          <w:color w:val="2E75B6"/>
          <w:sz w:val="28"/>
          <w:szCs w:val="28"/>
        </w:rPr>
        <w:t xml:space="preserve">6.1 modules/vpc/variables.tf</w:t>
      </w:r>
    </w:p>
    <w:p>
      <w:pPr>
        <w:spacing w:after="120"/>
      </w:pPr>
      <w:r>
        <w:rPr>
          <w:rFonts w:ascii="Arial" w:cs="Arial" w:eastAsia="Arial" w:hAnsi="Arial"/>
          <w:sz w:val="22"/>
          <w:szCs w:val="22"/>
        </w:rPr>
        <w:t xml:space="preserve">Six module input variables. All carry no defaults — callers must supply all values explicitly. subnet_cidr from Session 2 was replaced by the two new list variables.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region where the VPC will be deployed</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string</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Deployment environment name (e.g. dev, staging, production)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vpc_cidr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CIDR block for the VPC (e.g. 10.10.0.0/16)</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public_subnet_cidrs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list(string)</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CIDR blocks for the public subnets, one per availability zone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private_subnet_cidrs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CIDR blocks for the private subnets, one per availability zone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availability_zones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list(string)</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Availability zones for subnet placement, must match length of subnet CIDR lists</w:t>
            </w:r>
          </w:p>
        </w:tc>
      </w:tr>
    </w:tbl>
    <w:p>
      <w:pPr>
        <w:spacing w:after="120"/>
      </w:pPr>
      <w:r>
        <w:t xml:space="preserve"/>
      </w:r>
    </w:p>
    <w:p>
      <w:pPr>
        <w:pStyle w:val="Heading2"/>
      </w:pPr>
      <w:r>
        <w:rPr>
          <w:rFonts w:ascii="Arial" w:cs="Arial" w:eastAsia="Arial" w:hAnsi="Arial"/>
          <w:b/>
          <w:bCs/>
          <w:color w:val="2E75B6"/>
          <w:sz w:val="28"/>
          <w:szCs w:val="28"/>
        </w:rPr>
        <w:t xml:space="preserve">6.2 modules/vpc/main.tf</w:t>
      </w:r>
    </w:p>
    <w:p>
      <w:pPr>
        <w:spacing w:after="120"/>
      </w:pPr>
      <w:r>
        <w:rPr>
          <w:rFonts w:ascii="Arial" w:cs="Arial" w:eastAsia="Arial" w:hAnsi="Arial"/>
          <w:sz w:val="22"/>
          <w:szCs w:val="22"/>
        </w:rPr>
        <w:t xml:space="preserve">All AWS resources updated for multi-AZ architecture. Key characteristics of the final version:</w:t>
      </w:r>
    </w:p>
    <w:p>
      <w:pPr>
        <w:pStyle w:val="ListParagraph"/>
        <w:numPr>
          <w:ilvl w:val="0"/>
          <w:numId w:val="2"/>
        </w:numPr>
        <w:spacing w:after="80"/>
      </w:pPr>
      <w:r>
        <w:rPr>
          <w:rFonts w:ascii="Arial" w:cs="Arial" w:eastAsia="Arial" w:hAnsi="Arial"/>
          <w:b w:val="false"/>
          <w:bCs w:val="false"/>
          <w:sz w:val="22"/>
          <w:szCs w:val="22"/>
        </w:rPr>
        <w:t xml:space="preserve">No provider block — inherited from calling environment</w:t>
      </w:r>
    </w:p>
    <w:p>
      <w:pPr>
        <w:pStyle w:val="ListParagraph"/>
        <w:numPr>
          <w:ilvl w:val="0"/>
          <w:numId w:val="2"/>
        </w:numPr>
        <w:spacing w:after="80"/>
      </w:pPr>
      <w:r>
        <w:rPr>
          <w:rFonts w:ascii="Arial" w:cs="Arial" w:eastAsia="Arial" w:hAnsi="Arial"/>
          <w:b w:val="false"/>
          <w:bCs w:val="false"/>
          <w:sz w:val="22"/>
          <w:szCs w:val="22"/>
        </w:rPr>
        <w:t xml:space="preserve">aws_subnet.public and aws_subnet.private both use count = length(var.*_subnet_cidrs)</w:t>
      </w:r>
    </w:p>
    <w:p>
      <w:pPr>
        <w:pStyle w:val="ListParagraph"/>
        <w:numPr>
          <w:ilvl w:val="0"/>
          <w:numId w:val="2"/>
        </w:numPr>
        <w:spacing w:after="80"/>
      </w:pPr>
      <w:r>
        <w:rPr>
          <w:rFonts w:ascii="Arial" w:cs="Arial" w:eastAsia="Arial" w:hAnsi="Arial"/>
          <w:b w:val="false"/>
          <w:bCs w:val="false"/>
          <w:sz w:val="22"/>
          <w:szCs w:val="22"/>
        </w:rPr>
        <w:t xml:space="preserve">All subnet names use both AZ and environment in string interpolation: "public-subnet-${var.availability_zones[count.index]}-${var.environment}"</w:t>
      </w:r>
    </w:p>
    <w:p>
      <w:pPr>
        <w:pStyle w:val="ListParagraph"/>
        <w:numPr>
          <w:ilvl w:val="0"/>
          <w:numId w:val="2"/>
        </w:numPr>
        <w:spacing w:after="80"/>
      </w:pPr>
      <w:r>
        <w:rPr>
          <w:rFonts w:ascii="Arial" w:cs="Arial" w:eastAsia="Arial" w:hAnsi="Arial"/>
          <w:b w:val="false"/>
          <w:bCs w:val="false"/>
          <w:sz w:val="22"/>
          <w:szCs w:val="22"/>
        </w:rPr>
        <w:t xml:space="preserve">aws_route_table.public_rt routes 0.0.0.0/0 to Internet Gateway</w:t>
      </w:r>
    </w:p>
    <w:p>
      <w:pPr>
        <w:pStyle w:val="ListParagraph"/>
        <w:numPr>
          <w:ilvl w:val="0"/>
          <w:numId w:val="2"/>
        </w:numPr>
        <w:spacing w:after="80"/>
      </w:pPr>
      <w:r>
        <w:rPr>
          <w:rFonts w:ascii="Arial" w:cs="Arial" w:eastAsia="Arial" w:hAnsi="Arial"/>
          <w:b w:val="false"/>
          <w:bCs w:val="false"/>
          <w:sz w:val="22"/>
          <w:szCs w:val="22"/>
        </w:rPr>
        <w:t xml:space="preserve">aws_route_table.private_rt routes 0.0.0.0/0 to NAT Gateway via nat_gateway_id</w:t>
      </w:r>
    </w:p>
    <w:p>
      <w:pPr>
        <w:pStyle w:val="ListParagraph"/>
        <w:numPr>
          <w:ilvl w:val="0"/>
          <w:numId w:val="2"/>
        </w:numPr>
        <w:spacing w:after="80"/>
      </w:pPr>
      <w:r>
        <w:rPr>
          <w:rFonts w:ascii="Arial" w:cs="Arial" w:eastAsia="Arial" w:hAnsi="Arial"/>
          <w:b w:val="false"/>
          <w:bCs w:val="false"/>
          <w:sz w:val="22"/>
          <w:szCs w:val="22"/>
        </w:rPr>
        <w:t xml:space="preserve">aws_route_table_association.public_rta and private_rta both use count to associate all subnets</w:t>
      </w:r>
    </w:p>
    <w:p>
      <w:pPr>
        <w:pStyle w:val="ListParagraph"/>
        <w:numPr>
          <w:ilvl w:val="0"/>
          <w:numId w:val="2"/>
        </w:numPr>
        <w:spacing w:after="80"/>
      </w:pPr>
      <w:r>
        <w:rPr>
          <w:rFonts w:ascii="Arial" w:cs="Arial" w:eastAsia="Arial" w:hAnsi="Arial"/>
          <w:b w:val="false"/>
          <w:bCs w:val="false"/>
          <w:sz w:val="22"/>
          <w:szCs w:val="22"/>
        </w:rPr>
        <w:t xml:space="preserve">aws_eip.nat_eip declares domain = "vpc" for the Elastic IP</w:t>
      </w:r>
    </w:p>
    <w:p>
      <w:pPr>
        <w:pStyle w:val="ListParagraph"/>
        <w:numPr>
          <w:ilvl w:val="0"/>
          <w:numId w:val="2"/>
        </w:numPr>
        <w:spacing w:after="80"/>
      </w:pPr>
      <w:r>
        <w:rPr>
          <w:rFonts w:ascii="Arial" w:cs="Arial" w:eastAsia="Arial" w:hAnsi="Arial"/>
          <w:b w:val="false"/>
          <w:bCs w:val="false"/>
          <w:sz w:val="22"/>
          <w:szCs w:val="22"/>
        </w:rPr>
        <w:t xml:space="preserve">aws_nat_gateway.nat placed in public[0], references EIP, includes depends_on = [aws_internet_gateway.gw]</w:t>
      </w:r>
    </w:p>
    <w:p>
      <w:pPr>
        <w:spacing w:after="120"/>
      </w:pPr>
      <w:r>
        <w:t xml:space="preserve"/>
      </w:r>
    </w:p>
    <w:p>
      <w:pPr>
        <w:pStyle w:val="Heading2"/>
      </w:pPr>
      <w:r>
        <w:rPr>
          <w:rFonts w:ascii="Arial" w:cs="Arial" w:eastAsia="Arial" w:hAnsi="Arial"/>
          <w:b/>
          <w:bCs/>
          <w:color w:val="2E75B6"/>
          <w:sz w:val="28"/>
          <w:szCs w:val="28"/>
        </w:rPr>
        <w:t xml:space="preserve">6.3 modules/vpc/outputs.tf</w:t>
      </w:r>
    </w:p>
    <w:p>
      <w:pPr>
        <w:spacing w:after="120"/>
      </w:pPr>
      <w:r>
        <w:rPr>
          <w:rFonts w:ascii="Arial" w:cs="Arial" w:eastAsia="Arial" w:hAnsi="Arial"/>
          <w:sz w:val="22"/>
          <w:szCs w:val="22"/>
        </w:rPr>
        <w:t xml:space="preserve">Eight outputs exposing values required by downstream configurations. Internal plumbing (route table association IDs, EIP resource ID) correctly excluded.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4212"/>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 Name</w:t>
            </w:r>
          </w:p>
        </w:tc>
        <w:tc>
          <w:tcPr>
            <w:tcW w:type="dxa" w:w="28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 Source</w:t>
            </w:r>
          </w:p>
        </w:tc>
        <w:tc>
          <w:tcPr>
            <w:tcW w:type="dxa" w:w="421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vpc_id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aws_vpc.main.id</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ID of the primary VPC</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public_subnet_ids</w:t>
            </w:r>
          </w:p>
        </w:tc>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aws_subnet.public[*].id</w:t>
            </w:r>
          </w:p>
        </w:tc>
        <w:tc>
          <w:tcPr>
            <w:tcW w:type="dxa" w:w="421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List of all public subnet IDs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private_subnet_ids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aws_subnet.private[*].id</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all private subnet IDs</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security_group_id</w:t>
            </w:r>
          </w:p>
        </w:tc>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aws_security_group.default_sg.id</w:t>
            </w:r>
          </w:p>
        </w:tc>
        <w:tc>
          <w:tcPr>
            <w:tcW w:type="dxa" w:w="421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ID of the default security group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nat_gateway_id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aws_nat_gateway.nat.id</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ID of the NAT Gateway</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public_route_table_id</w:t>
            </w:r>
          </w:p>
        </w:tc>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aws_route_table.public_rt.id</w:t>
            </w:r>
          </w:p>
        </w:tc>
        <w:tc>
          <w:tcPr>
            <w:tcW w:type="dxa" w:w="421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ID of the public route 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private_route_table_id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aws_route_table.private_rt.id</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ID of the private route table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current_aws_region</w:t>
            </w:r>
          </w:p>
        </w:tc>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data.aws_region.current.region</w:t>
            </w:r>
          </w:p>
        </w:tc>
        <w:tc>
          <w:tcPr>
            <w:tcW w:type="dxa" w:w="421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AWS region where the VPC is deployed</w:t>
            </w:r>
          </w:p>
        </w:tc>
      </w:tr>
    </w:tbl>
    <w:p>
      <w:pPr>
        <w:spacing w:after="120"/>
      </w:pPr>
      <w:r>
        <w:t xml:space="preserve"/>
      </w:r>
    </w:p>
    <w:p>
      <w:pPr>
        <w:pStyle w:val="Heading2"/>
      </w:pPr>
      <w:r>
        <w:rPr>
          <w:rFonts w:ascii="Arial" w:cs="Arial" w:eastAsia="Arial" w:hAnsi="Arial"/>
          <w:b/>
          <w:bCs/>
          <w:color w:val="2E75B6"/>
          <w:sz w:val="28"/>
          <w:szCs w:val="28"/>
        </w:rPr>
        <w:t xml:space="preserve">6.4 environments/dev/main.tf</w:t>
      </w:r>
    </w:p>
    <w:p>
      <w:pPr>
        <w:spacing w:after="120"/>
      </w:pPr>
      <w:r>
        <w:rPr>
          <w:rFonts w:ascii="Arial" w:cs="Arial" w:eastAsia="Arial" w:hAnsi="Arial"/>
          <w:sz w:val="22"/>
          <w:szCs w:val="22"/>
        </w:rPr>
        <w:t xml:space="preserve">Minimal calling environment file containing only provider configuration, module call with all six variables, and output blocks consuming module values. No resource definitions — all resources live in the module.</w:t>
      </w:r>
    </w:p>
    <w:p>
      <w:pPr>
        <w:spacing w:after="120"/>
      </w:pPr>
      <w:r>
        <w:t xml:space="preserve"/>
      </w:r>
    </w:p>
    <w:p>
      <w:pPr>
        <w:shd w:fill="F2F2F2" w:val="clear"/>
        <w:spacing w:after="60" w:before="60"/>
      </w:pPr>
      <w:r>
        <w:rPr>
          <w:rFonts w:ascii="Courier New" w:cs="Courier New" w:eastAsia="Courier New" w:hAnsi="Courier New"/>
          <w:sz w:val="18"/>
          <w:szCs w:val="18"/>
        </w:rPr>
        <w:t xml:space="preserve">provider "aws" {</w:t>
      </w:r>
    </w:p>
    <w:p>
      <w:pPr>
        <w:shd w:fill="F2F2F2" w:val="clear"/>
        <w:spacing w:after="60" w:before="60"/>
      </w:pPr>
      <w:r>
        <w:rPr>
          <w:rFonts w:ascii="Courier New" w:cs="Courier New" w:eastAsia="Courier New" w:hAnsi="Courier New"/>
          <w:sz w:val="18"/>
          <w:szCs w:val="18"/>
        </w:rPr>
        <w:t xml:space="preserve">  region = "us-east-1"</w:t>
      </w:r>
    </w:p>
    <w:p>
      <w:pPr>
        <w:shd w:fill="F2F2F2" w:val="clear"/>
        <w:spacing w:after="60" w:before="60"/>
      </w:pPr>
      <w:r>
        <w:rPr>
          <w:rFonts w:ascii="Courier New" w:cs="Courier New" w:eastAsia="Courier New" w:hAnsi="Courier New"/>
          <w:sz w:val="18"/>
          <w:szCs w:val="18"/>
        </w:rPr>
        <w:t xml:space="preserve">}</w:t>
      </w:r>
    </w:p>
    <w:p>
      <w:pPr>
        <w:spacing w:after="120"/>
      </w:pPr>
      <w:r>
        <w:t xml:space="preserve"/>
      </w:r>
    </w:p>
    <w:p>
      <w:pPr>
        <w:shd w:fill="F2F2F2" w:val="clear"/>
        <w:spacing w:after="60" w:before="60"/>
      </w:pPr>
      <w:r>
        <w:rPr>
          <w:rFonts w:ascii="Courier New" w:cs="Courier New" w:eastAsia="Courier New" w:hAnsi="Courier New"/>
          <w:sz w:val="18"/>
          <w:szCs w:val="18"/>
        </w:rPr>
        <w:t xml:space="preserve">module "vpc" {</w:t>
      </w:r>
    </w:p>
    <w:p>
      <w:pPr>
        <w:shd w:fill="F2F2F2" w:val="clear"/>
        <w:spacing w:after="60" w:before="60"/>
      </w:pPr>
      <w:r>
        <w:rPr>
          <w:rFonts w:ascii="Courier New" w:cs="Courier New" w:eastAsia="Courier New" w:hAnsi="Courier New"/>
          <w:sz w:val="18"/>
          <w:szCs w:val="18"/>
        </w:rPr>
        <w:t xml:space="preserve">  source               = "../../modules/vpc"</w:t>
      </w:r>
    </w:p>
    <w:p>
      <w:pPr>
        <w:shd w:fill="F2F2F2" w:val="clear"/>
        <w:spacing w:after="60" w:before="60"/>
      </w:pPr>
      <w:r>
        <w:rPr>
          <w:rFonts w:ascii="Courier New" w:cs="Courier New" w:eastAsia="Courier New" w:hAnsi="Courier New"/>
          <w:sz w:val="18"/>
          <w:szCs w:val="18"/>
        </w:rPr>
        <w:t xml:space="preserve">  region               = "us-east-1"</w:t>
      </w:r>
    </w:p>
    <w:p>
      <w:pPr>
        <w:shd w:fill="F2F2F2" w:val="clear"/>
        <w:spacing w:after="60" w:before="60"/>
      </w:pPr>
      <w:r>
        <w:rPr>
          <w:rFonts w:ascii="Courier New" w:cs="Courier New" w:eastAsia="Courier New" w:hAnsi="Courier New"/>
          <w:sz w:val="18"/>
          <w:szCs w:val="18"/>
        </w:rPr>
        <w:t xml:space="preserve">  environment          = "dev"</w:t>
      </w:r>
    </w:p>
    <w:p>
      <w:pPr>
        <w:shd w:fill="F2F2F2" w:val="clear"/>
        <w:spacing w:after="60" w:before="60"/>
      </w:pPr>
      <w:r>
        <w:rPr>
          <w:rFonts w:ascii="Courier New" w:cs="Courier New" w:eastAsia="Courier New" w:hAnsi="Courier New"/>
          <w:sz w:val="18"/>
          <w:szCs w:val="18"/>
        </w:rPr>
        <w:t xml:space="preserve">  vpc_cidr             = "10.10.0.0/16"</w:t>
      </w:r>
    </w:p>
    <w:p>
      <w:pPr>
        <w:shd w:fill="F2F2F2" w:val="clear"/>
        <w:spacing w:after="60" w:before="60"/>
      </w:pPr>
      <w:r>
        <w:rPr>
          <w:rFonts w:ascii="Courier New" w:cs="Courier New" w:eastAsia="Courier New" w:hAnsi="Courier New"/>
          <w:sz w:val="18"/>
          <w:szCs w:val="18"/>
        </w:rPr>
        <w:t xml:space="preserve">  availability_zones   = ["us-east-1a", "us-east-1b"]</w:t>
      </w:r>
    </w:p>
    <w:p>
      <w:pPr>
        <w:shd w:fill="F2F2F2" w:val="clear"/>
        <w:spacing w:after="60" w:before="60"/>
      </w:pPr>
      <w:r>
        <w:rPr>
          <w:rFonts w:ascii="Courier New" w:cs="Courier New" w:eastAsia="Courier New" w:hAnsi="Courier New"/>
          <w:sz w:val="18"/>
          <w:szCs w:val="18"/>
        </w:rPr>
        <w:t xml:space="preserve">  public_subnet_cidrs  = ["10.10.1.0/24", "10.10.3.0/24"]</w:t>
      </w:r>
    </w:p>
    <w:p>
      <w:pPr>
        <w:shd w:fill="F2F2F2" w:val="clear"/>
        <w:spacing w:after="60" w:before="60"/>
      </w:pPr>
      <w:r>
        <w:rPr>
          <w:rFonts w:ascii="Courier New" w:cs="Courier New" w:eastAsia="Courier New" w:hAnsi="Courier New"/>
          <w:sz w:val="18"/>
          <w:szCs w:val="18"/>
        </w:rPr>
        <w:t xml:space="preserve">  private_subnet_cidrs = ["10.10.2.0/24", "10.10.4.0/24"]</w:t>
      </w:r>
    </w:p>
    <w:p>
      <w:pPr>
        <w:shd w:fill="F2F2F2" w:val="clear"/>
        <w:spacing w:after="60" w:before="60"/>
      </w:pPr>
      <w:r>
        <w:rPr>
          <w:rFonts w:ascii="Courier New" w:cs="Courier New" w:eastAsia="Courier New" w:hAnsi="Courier New"/>
          <w:sz w:val="18"/>
          <w:szCs w:val="18"/>
        </w:rPr>
        <w:t xml:space="preserve">}</w:t>
      </w:r>
    </w:p>
    <w:p>
      <w:pPr>
        <w:spacing w:after="120"/>
      </w:pPr>
      <w:r>
        <w:t xml:space="preserve"/>
      </w:r>
    </w:p>
    <w:p>
      <w:pPr>
        <w:pStyle w:val="Heading1"/>
      </w:pPr>
      <w:r>
        <w:rPr>
          <w:rFonts w:ascii="Arial" w:cs="Arial" w:eastAsia="Arial" w:hAnsi="Arial"/>
          <w:b/>
          <w:bCs/>
          <w:color w:val="1F3864"/>
          <w:sz w:val="36"/>
          <w:szCs w:val="36"/>
        </w:rPr>
        <w:t xml:space="preserve">7. Errors Made and Corrections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432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Round</w:t>
            </w:r>
          </w:p>
        </w:tc>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Recall Q3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Said environments/dev/main.tf is the file to edit for SSH CIDR change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answer: modules/vpc/main.tf only. One change propagates to all environments. Editing the environment file defeats the module pattern.</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variables.tf — multiple attempts</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default values present on list variables despite module rule established in Session 2</w:t>
            </w:r>
          </w:p>
        </w:tc>
        <w:tc>
          <w:tcPr>
            <w:tcW w:type="dxa" w:w="4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Module variables must never have defaults. Rule re-established. Defaults removed after fourth attempt.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variables.tf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subnet_cidr (Session 2 single-subnet variable) retained alongside new list variables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subnet_cidr replaced by public_subnet_cidrs and private_subnet_cidrs. Dead variables removed.</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variables.tf</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Copy-paste error: availability_zones description said 'CIDR blocks for the public subnets'</w:t>
            </w:r>
          </w:p>
        </w:tc>
        <w:tc>
          <w:tcPr>
            <w:tcW w:type="dxa" w:w="4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Descriptions are public API documentation. Updated to accurately describe the variable's 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main.tf — first attempt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private_rt route table used gateway_id = aws_internet_gateway.gw.id instead of nat_gateway_id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error: would have made private subnet publicly routable. Corrected to nat_gateway_id = aws_nat_gateway.nat.id</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main.tf — first attempt</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Route table associations used [0] index only — second subnet in each pair had no routing rules</w:t>
            </w:r>
          </w:p>
        </w:tc>
        <w:tc>
          <w:tcPr>
            <w:tcW w:type="dxa" w:w="4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Applied count pattern to both association blocks: count = length(var.*_subnet_cidrs) with subnet_id = aws_subnet.*[count.index].id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main.tf — first attempt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EIP reference name mismatch: NAT Gateway referenced aws_eip.nat.id but resource was named nat_eip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 must be consistent across referencing and declaring blocks. Corrected to aws_eip.nat_eip.id throughout.</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main.tf — second attempt</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private_rt comment copied from public_rt: 'directs internet-bound traffic to the IGW'</w:t>
            </w:r>
          </w:p>
        </w:tc>
        <w:tc>
          <w:tcPr>
            <w:tcW w:type="dxa" w:w="4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Comments that contradict code are worse than no comments. Updated to accurately describe NAT Gateway routing.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outputs.tf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Included route table association IDs and EIP resource ID as outputs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plumbing — downstream configurations never reference these. Removed. Only meaningful interface values exposed.</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outputs.tf</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current_aws_region used value = var.region (echoes input) instead of data source</w:t>
            </w:r>
          </w:p>
        </w:tc>
        <w:tc>
          <w:tcPr>
            <w:tcW w:type="dxa" w:w="4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data.aws_region.current.region is verified by AWS at apply time. var.region simply echoes the input string without AWS confirmation.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environments/dev/main.tf — first attempt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Referenced module.vpc.vpc_subnet_id (Session 2 output that no longer exists)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3 module replaced vpc_subnet_id with public_subnet_ids and private_subnet_ids. Updated references to match actual module outputs.</w:t>
            </w:r>
          </w:p>
        </w:tc>
      </w:tr>
    </w:tbl>
    <w:p>
      <w:pPr>
        <w:spacing w:after="120"/>
      </w:pPr>
      <w:r>
        <w:t xml:space="preserve"/>
      </w:r>
    </w:p>
    <w:p>
      <w:pPr>
        <w:pStyle w:val="Heading1"/>
      </w:pPr>
      <w:r>
        <w:rPr>
          <w:rFonts w:ascii="Arial" w:cs="Arial" w:eastAsia="Arial" w:hAnsi="Arial"/>
          <w:b/>
          <w:bCs/>
          <w:color w:val="1F3864"/>
          <w:sz w:val="36"/>
          <w:szCs w:val="36"/>
        </w:rPr>
        <w:t xml:space="preserve">8. Hands-On Workshop — Live Multi-AZ Deployment</w:t>
      </w:r>
    </w:p>
    <w:p>
      <w:pPr>
        <w:pStyle w:val="Heading2"/>
      </w:pPr>
      <w:r>
        <w:rPr>
          <w:rFonts w:ascii="Arial" w:cs="Arial" w:eastAsia="Arial" w:hAnsi="Arial"/>
          <w:b/>
          <w:bCs/>
          <w:color w:val="2E75B6"/>
          <w:sz w:val="28"/>
          <w:szCs w:val="28"/>
        </w:rPr>
        <w:t xml:space="preserve">8.1 Workshop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Directory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C:\terraform-workshop-s3\environments\dev</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AWS Region</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us-east-1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v1.14.5</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AWS Provider</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hashicorp/aws v6.33.0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Multi-AZ module-based — 4 subnets, NAT Gateway, 2 route tables</w:t>
            </w:r>
          </w:p>
        </w:tc>
      </w:tr>
    </w:tbl>
    <w:p>
      <w:pPr>
        <w:spacing w:after="120"/>
      </w:pPr>
      <w:r>
        <w:t xml:space="preserve"/>
      </w:r>
    </w:p>
    <w:p>
      <w:pPr>
        <w:pStyle w:val="Heading2"/>
      </w:pPr>
      <w:r>
        <w:rPr>
          <w:rFonts w:ascii="Arial" w:cs="Arial" w:eastAsia="Arial" w:hAnsi="Arial"/>
          <w:b/>
          <w:bCs/>
          <w:color w:val="2E75B6"/>
          <w:sz w:val="28"/>
          <w:szCs w:val="28"/>
        </w:rPr>
        <w:t xml:space="preserve">8.2 Project Structure</w:t>
      </w:r>
    </w:p>
    <w:p>
      <w:pPr>
        <w:shd w:fill="F2F2F2" w:val="clear"/>
        <w:spacing w:after="60" w:before="60"/>
      </w:pPr>
      <w:r>
        <w:rPr>
          <w:rFonts w:ascii="Courier New" w:cs="Courier New" w:eastAsia="Courier New" w:hAnsi="Courier New"/>
          <w:sz w:val="18"/>
          <w:szCs w:val="18"/>
        </w:rPr>
        <w:t xml:space="preserve">C:\terraform-workshop-s3\</w:t>
      </w:r>
    </w:p>
    <w:p>
      <w:pPr>
        <w:shd w:fill="F2F2F2" w:val="clear"/>
        <w:spacing w:after="60" w:before="60"/>
      </w:pPr>
      <w:r>
        <w:rPr>
          <w:rFonts w:ascii="Courier New" w:cs="Courier New" w:eastAsia="Courier New" w:hAnsi="Courier New"/>
          <w:sz w:val="18"/>
          <w:szCs w:val="18"/>
        </w:rPr>
        <w:t xml:space="preserve">├── modules\</w:t>
      </w:r>
    </w:p>
    <w:p>
      <w:pPr>
        <w:shd w:fill="F2F2F2" w:val="clear"/>
        <w:spacing w:after="60" w:before="60"/>
      </w:pPr>
      <w:r>
        <w:rPr>
          <w:rFonts w:ascii="Courier New" w:cs="Courier New" w:eastAsia="Courier New" w:hAnsi="Courier New"/>
          <w:sz w:val="18"/>
          <w:szCs w:val="18"/>
        </w:rPr>
        <w:t xml:space="preserve">│   └── vpc\</w:t>
      </w:r>
    </w:p>
    <w:p>
      <w:pPr>
        <w:shd w:fill="F2F2F2" w:val="clear"/>
        <w:spacing w:after="60" w:before="60"/>
      </w:pPr>
      <w:r>
        <w:rPr>
          <w:rFonts w:ascii="Courier New" w:cs="Courier New" w:eastAsia="Courier New" w:hAnsi="Courier New"/>
          <w:sz w:val="18"/>
          <w:szCs w:val="18"/>
        </w:rPr>
        <w:t xml:space="preserve">│       ├── main.tf</w:t>
      </w:r>
    </w:p>
    <w:p>
      <w:pPr>
        <w:shd w:fill="F2F2F2" w:val="clear"/>
        <w:spacing w:after="60" w:before="60"/>
      </w:pPr>
      <w:r>
        <w:rPr>
          <w:rFonts w:ascii="Courier New" w:cs="Courier New" w:eastAsia="Courier New" w:hAnsi="Courier New"/>
          <w:sz w:val="18"/>
          <w:szCs w:val="18"/>
        </w:rPr>
        <w:t xml:space="preserve">│       ├── variables.tf</w:t>
      </w:r>
    </w:p>
    <w:p>
      <w:pPr>
        <w:shd w:fill="F2F2F2" w:val="clear"/>
        <w:spacing w:after="60" w:before="60"/>
      </w:pPr>
      <w:r>
        <w:rPr>
          <w:rFonts w:ascii="Courier New" w:cs="Courier New" w:eastAsia="Courier New" w:hAnsi="Courier New"/>
          <w:sz w:val="18"/>
          <w:szCs w:val="18"/>
        </w:rPr>
        <w:t xml:space="preserve">│       └── outputs.tf</w:t>
      </w:r>
    </w:p>
    <w:p>
      <w:pPr>
        <w:shd w:fill="F2F2F2" w:val="clear"/>
        <w:spacing w:after="60" w:before="60"/>
      </w:pPr>
      <w:r>
        <w:rPr>
          <w:rFonts w:ascii="Courier New" w:cs="Courier New" w:eastAsia="Courier New" w:hAnsi="Courier New"/>
          <w:sz w:val="18"/>
          <w:szCs w:val="18"/>
        </w:rPr>
        <w:t xml:space="preserve">└── environments\</w:t>
      </w:r>
    </w:p>
    <w:p>
      <w:pPr>
        <w:shd w:fill="F2F2F2" w:val="clear"/>
        <w:spacing w:after="60" w:before="60"/>
      </w:pPr>
      <w:r>
        <w:rPr>
          <w:rFonts w:ascii="Courier New" w:cs="Courier New" w:eastAsia="Courier New" w:hAnsi="Courier New"/>
          <w:sz w:val="18"/>
          <w:szCs w:val="18"/>
        </w:rPr>
        <w:t xml:space="preserve">    └── dev\</w:t>
      </w:r>
    </w:p>
    <w:p>
      <w:pPr>
        <w:shd w:fill="F2F2F2" w:val="clear"/>
        <w:spacing w:after="60" w:before="60"/>
      </w:pPr>
      <w:r>
        <w:rPr>
          <w:rFonts w:ascii="Courier New" w:cs="Courier New" w:eastAsia="Courier New" w:hAnsi="Courier New"/>
          <w:sz w:val="18"/>
          <w:szCs w:val="18"/>
        </w:rPr>
        <w:t xml:space="preserve">        └── main.tf</w:t>
      </w:r>
    </w:p>
    <w:p>
      <w:pPr>
        <w:spacing w:after="120"/>
      </w:pPr>
      <w:r>
        <w:t xml:space="preserve"/>
      </w:r>
    </w:p>
    <w:p>
      <w:pPr>
        <w:pStyle w:val="Heading2"/>
      </w:pPr>
      <w:r>
        <w:rPr>
          <w:rFonts w:ascii="Arial" w:cs="Arial" w:eastAsia="Arial" w:hAnsi="Arial"/>
          <w:b/>
          <w:bCs/>
          <w:color w:val="2E75B6"/>
          <w:sz w:val="28"/>
          <w:szCs w:val="28"/>
        </w:rPr>
        <w:t xml:space="preserve">8.3 terraform plan — Expected vs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Actual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Resources to add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Resources to change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Resources to destroy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Outputs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w:t>
            </w:r>
          </w:p>
        </w:tc>
      </w:tr>
    </w:tbl>
    <w:p>
      <w:pPr>
        <w:spacing w:after="120"/>
      </w:pPr>
      <w:r>
        <w:t xml:space="preserve"/>
      </w:r>
    </w:p>
    <w:p>
      <w:pPr>
        <w:spacing w:after="120"/>
      </w:pPr>
      <w:r>
        <w:rPr>
          <w:rFonts w:ascii="Arial" w:cs="Arial" w:eastAsia="Arial" w:hAnsi="Arial"/>
          <w:sz w:val="22"/>
          <w:szCs w:val="22"/>
        </w:rPr>
        <w:t xml:space="preserve">Notable plan output — counted resources appeared with explicit indices:</w:t>
      </w:r>
    </w:p>
    <w:p>
      <w:pPr>
        <w:shd w:fill="F2F2F2" w:val="clear"/>
        <w:spacing w:after="60" w:before="60"/>
      </w:pPr>
      <w:r>
        <w:rPr>
          <w:rFonts w:ascii="Courier New" w:cs="Courier New" w:eastAsia="Courier New" w:hAnsi="Courier New"/>
          <w:sz w:val="18"/>
          <w:szCs w:val="18"/>
        </w:rPr>
        <w:t xml:space="preserve">module.vpc.aws_subnet.public[0] will be created</w:t>
      </w:r>
    </w:p>
    <w:p>
      <w:pPr>
        <w:shd w:fill="F2F2F2" w:val="clear"/>
        <w:spacing w:after="60" w:before="60"/>
      </w:pPr>
      <w:r>
        <w:rPr>
          <w:rFonts w:ascii="Courier New" w:cs="Courier New" w:eastAsia="Courier New" w:hAnsi="Courier New"/>
          <w:sz w:val="18"/>
          <w:szCs w:val="18"/>
        </w:rPr>
        <w:t xml:space="preserve">module.vpc.aws_subnet.public[1] will be created</w:t>
      </w:r>
    </w:p>
    <w:p>
      <w:pPr>
        <w:shd w:fill="F2F2F2" w:val="clear"/>
        <w:spacing w:after="60" w:before="60"/>
      </w:pPr>
      <w:r>
        <w:rPr>
          <w:rFonts w:ascii="Courier New" w:cs="Courier New" w:eastAsia="Courier New" w:hAnsi="Courier New"/>
          <w:sz w:val="18"/>
          <w:szCs w:val="18"/>
        </w:rPr>
        <w:t xml:space="preserve">module.vpc.aws_subnet.private[0] will be created</w:t>
      </w:r>
    </w:p>
    <w:p>
      <w:pPr>
        <w:shd w:fill="F2F2F2" w:val="clear"/>
        <w:spacing w:after="60" w:before="60"/>
      </w:pPr>
      <w:r>
        <w:rPr>
          <w:rFonts w:ascii="Courier New" w:cs="Courier New" w:eastAsia="Courier New" w:hAnsi="Courier New"/>
          <w:sz w:val="18"/>
          <w:szCs w:val="18"/>
        </w:rPr>
        <w:t xml:space="preserve">module.vpc.aws_subnet.private[1] will be created</w:t>
      </w:r>
    </w:p>
    <w:p>
      <w:pPr>
        <w:spacing w:after="120"/>
      </w:pPr>
      <w:r>
        <w:t xml:space="preserve"/>
      </w:r>
    </w:p>
    <w:p>
      <w:pPr>
        <w:pStyle w:val="Heading2"/>
      </w:pPr>
      <w:r>
        <w:rPr>
          <w:rFonts w:ascii="Arial" w:cs="Arial" w:eastAsia="Arial" w:hAnsi="Arial"/>
          <w:b/>
          <w:bCs/>
          <w:color w:val="2E75B6"/>
          <w:sz w:val="28"/>
          <w:szCs w:val="28"/>
        </w:rPr>
        <w:t xml:space="preserve">8.4 terraform apply — Real AWS Resource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Real AWS 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vpc_id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vpc-07ecd084328b83580</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public_subnet_ids[0]</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subnet-05d17a3e785d01260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public_subnet_ids[1]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subnet-057bf1c04a15d3e67</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private_subnet_ids[0]</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subnet-0e9758b5b5245bdda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private_subnet_ids[1]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subnet-020caad99eaa7ab15</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nat_gateway_id</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nat-0ce390f865cb20dad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public_route_table_id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rtb-0d232ff181a0607d1</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private_route_table_id</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rtb-06091a763c5398f0c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security_group_id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sg-073b1e3fff9be6295</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current_aws_region</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us-east-1</w:t>
            </w:r>
          </w:p>
        </w:tc>
      </w:tr>
    </w:tbl>
    <w:p>
      <w:pPr>
        <w:spacing w:after="120"/>
      </w:pPr>
      <w:r>
        <w:t xml:space="preserve"/>
      </w:r>
    </w:p>
    <w:p>
      <w:pPr>
        <w:pStyle w:val="Heading2"/>
      </w:pPr>
      <w:r>
        <w:rPr>
          <w:rFonts w:ascii="Arial" w:cs="Arial" w:eastAsia="Arial" w:hAnsi="Arial"/>
          <w:b/>
          <w:bCs/>
          <w:color w:val="2E75B6"/>
          <w:sz w:val="28"/>
          <w:szCs w:val="28"/>
        </w:rPr>
        <w:t xml:space="preserve">8.5 Key Workshop Observations</w:t>
      </w:r>
    </w:p>
    <w:p>
      <w:pPr>
        <w:pStyle w:val="ListParagraph"/>
        <w:numPr>
          <w:ilvl w:val="0"/>
          <w:numId w:val="2"/>
        </w:numPr>
        <w:spacing w:after="80"/>
      </w:pPr>
      <w:r>
        <w:rPr>
          <w:rFonts w:ascii="Arial" w:cs="Arial" w:eastAsia="Arial" w:hAnsi="Arial"/>
          <w:b w:val="false"/>
          <w:bCs w:val="false"/>
          <w:sz w:val="22"/>
          <w:szCs w:val="22"/>
        </w:rPr>
        <w:t xml:space="preserve">NAT Gateway took 1m37s to provision — all other resources completed in under 5 seconds. This is normal AWS API behaviour requiring physical network provisioning. Terraform retried automatically.</w:t>
      </w:r>
    </w:p>
    <w:p>
      <w:pPr>
        <w:pStyle w:val="ListParagraph"/>
        <w:numPr>
          <w:ilvl w:val="0"/>
          <w:numId w:val="2"/>
        </w:numPr>
        <w:spacing w:after="80"/>
      </w:pPr>
      <w:r>
        <w:rPr>
          <w:rFonts w:ascii="Arial" w:cs="Arial" w:eastAsia="Arial" w:hAnsi="Arial"/>
          <w:b w:val="false"/>
          <w:bCs w:val="false"/>
          <w:sz w:val="22"/>
          <w:szCs w:val="22"/>
        </w:rPr>
        <w:t xml:space="preserve">The private route table was created after the NAT Gateway completed. The implicit dependency from nat_gateway_id reference combined with depends_on forced correct sequencing automatically.</w:t>
      </w:r>
    </w:p>
    <w:p>
      <w:pPr>
        <w:pStyle w:val="ListParagraph"/>
        <w:numPr>
          <w:ilvl w:val="0"/>
          <w:numId w:val="2"/>
        </w:numPr>
        <w:spacing w:after="80"/>
      </w:pPr>
      <w:r>
        <w:rPr>
          <w:rFonts w:ascii="Arial" w:cs="Arial" w:eastAsia="Arial" w:hAnsi="Arial"/>
          <w:b w:val="false"/>
          <w:bCs w:val="false"/>
          <w:sz w:val="22"/>
          <w:szCs w:val="22"/>
        </w:rPr>
        <w:t xml:space="preserve">The AWS Console Resource Map confirmed the complete architecture: 4 subnets across 2 AZs, 2 named route tables (public and private), IGW and NAT Gateway both present under Network Connections.</w:t>
      </w:r>
    </w:p>
    <w:p>
      <w:pPr>
        <w:pStyle w:val="ListParagraph"/>
        <w:numPr>
          <w:ilvl w:val="0"/>
          <w:numId w:val="2"/>
        </w:numPr>
        <w:spacing w:after="80"/>
      </w:pPr>
      <w:r>
        <w:rPr>
          <w:rFonts w:ascii="Arial" w:cs="Arial" w:eastAsia="Arial" w:hAnsi="Arial"/>
          <w:b w:val="false"/>
          <w:bCs w:val="false"/>
          <w:sz w:val="22"/>
          <w:szCs w:val="22"/>
        </w:rPr>
        <w:t xml:space="preserve">Destroy sequence was exact reverse of creation order — Terraform walked the dependency graph backwards automatically. NAT Gateway took 1m11s to destroy, after which IGW, public subnets, EIP, and VPC completed in parallel.</w:t>
      </w:r>
    </w:p>
    <w:p>
      <w:pPr>
        <w:spacing w:after="120"/>
      </w:pPr>
      <w:r>
        <w:t xml:space="preserve"/>
      </w:r>
    </w:p>
    <w:p>
      <w:pPr>
        <w:pStyle w:val="Heading2"/>
      </w:pPr>
      <w:r>
        <w:rPr>
          <w:rFonts w:ascii="Arial" w:cs="Arial" w:eastAsia="Arial" w:hAnsi="Arial"/>
          <w:b/>
          <w:bCs/>
          <w:color w:val="2E75B6"/>
          <w:sz w:val="28"/>
          <w:szCs w:val="28"/>
        </w:rPr>
        <w:t xml:space="preserve">8.6 terraform destroy</w:t>
      </w:r>
    </w:p>
    <w:p>
      <w:pPr>
        <w:spacing w:after="120"/>
      </w:pPr>
      <w:r>
        <w:rPr>
          <w:rFonts w:ascii="Arial" w:cs="Arial" w:eastAsia="Arial" w:hAnsi="Arial"/>
          <w:sz w:val="22"/>
          <w:szCs w:val="22"/>
        </w:rPr>
        <w:t xml:space="preserve">Clean teardown confirmed. AWS Console verified NAT Gateway in Deleted state immediately following destroy completion. Zero billing exposure from the session.</w:t>
      </w:r>
    </w:p>
    <w:p>
      <w:pPr>
        <w:spacing w:after="120"/>
      </w:pPr>
      <w:r>
        <w:t xml:space="preserve"/>
      </w:r>
    </w:p>
    <w:p>
      <w:pPr>
        <w:shd w:fill="F2F2F2" w:val="clear"/>
        <w:spacing w:after="60" w:before="60"/>
      </w:pPr>
      <w:r>
        <w:rPr>
          <w:rFonts w:ascii="Courier New" w:cs="Courier New" w:eastAsia="Courier New" w:hAnsi="Courier New"/>
          <w:sz w:val="18"/>
          <w:szCs w:val="18"/>
        </w:rPr>
        <w:t xml:space="preserve">Destroy complete! Resources: 18 destroyed.</w:t>
      </w:r>
    </w:p>
    <w:p>
      <w:pPr>
        <w:spacing w:after="120"/>
      </w:pPr>
      <w:r>
        <w:t xml:space="preserve"/>
      </w:r>
    </w:p>
    <w:p>
      <w:pPr>
        <w:pStyle w:val="Heading1"/>
      </w:pPr>
      <w:r>
        <w:rPr>
          <w:rFonts w:ascii="Arial" w:cs="Arial" w:eastAsia="Arial" w:hAnsi="Arial"/>
          <w:b/>
          <w:bCs/>
          <w:color w:val="1F3864"/>
          <w:sz w:val="36"/>
          <w:szCs w:val="36"/>
        </w:rPr>
        <w:t xml:space="preserve">9. Session 1 vs Session 2 vs Session 3 — Architecture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Session 1</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Session 2</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Session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single directory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Modules + Environments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Modules + Environments</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Subnets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public subnet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public subnet in module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 public + 2 private (multi-AZ)</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 Zones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us-east-1a hardcoded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 removed (auto-assign)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us-east-1a and us-east-1b via list variable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Internet Access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Direct IGW to single subnet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Direct IGW to single subnet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IGW for public, NAT Gateway for private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creation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resource blocks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resource blocks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meta-argument for multi-resource creation</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Route Tables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One (public → IGW)</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One (public → IGW)</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Two (public → IGW, private → NAT GW)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Resources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New Terraform concepts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resource, data, variables, outputs, tfvars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module, source, module outputs, provider inheritance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count, count.index, [*] splat, depends_on, list(string) variables</w:t>
            </w:r>
          </w:p>
        </w:tc>
      </w:tr>
    </w:tbl>
    <w:p>
      <w:pPr>
        <w:spacing w:after="120"/>
      </w:pPr>
      <w:r>
        <w:t xml:space="preserve"/>
      </w:r>
    </w:p>
    <w:p>
      <w:pPr>
        <w:pStyle w:val="Heading1"/>
      </w:pPr>
      <w:r>
        <w:rPr>
          <w:rFonts w:ascii="Arial" w:cs="Arial" w:eastAsia="Arial" w:hAnsi="Arial"/>
          <w:b/>
          <w:bCs/>
          <w:color w:val="1F3864"/>
          <w:sz w:val="36"/>
          <w:szCs w:val="36"/>
        </w:rPr>
        <w:t xml:space="preserve">10. Key Session Takeaways</w:t>
      </w:r>
    </w:p>
    <w:p>
      <w:pPr>
        <w:pStyle w:val="ListParagraph"/>
        <w:numPr>
          <w:ilvl w:val="0"/>
          <w:numId w:val="2"/>
        </w:numPr>
        <w:spacing w:after="80"/>
      </w:pPr>
      <w:r>
        <w:rPr>
          <w:rFonts w:ascii="Arial" w:cs="Arial" w:eastAsia="Arial" w:hAnsi="Arial"/>
          <w:b w:val="false"/>
          <w:bCs w:val="false"/>
          <w:sz w:val="22"/>
          <w:szCs w:val="22"/>
        </w:rPr>
        <w:t xml:space="preserve">Security groups provide access control. Private subnets provide network isolation. These are two separate layers of defence — Defence in Depth. Professional architectures use both.</w:t>
      </w:r>
    </w:p>
    <w:p>
      <w:pPr>
        <w:pStyle w:val="ListParagraph"/>
        <w:numPr>
          <w:ilvl w:val="0"/>
          <w:numId w:val="2"/>
        </w:numPr>
        <w:spacing w:after="80"/>
      </w:pPr>
      <w:r>
        <w:rPr>
          <w:rFonts w:ascii="Arial" w:cs="Arial" w:eastAsia="Arial" w:hAnsi="Arial"/>
          <w:b w:val="false"/>
          <w:bCs w:val="false"/>
          <w:sz w:val="22"/>
          <w:szCs w:val="22"/>
        </w:rPr>
        <w:t xml:space="preserve">A public subnet resource has a public IP and a route from the internet. A private subnet resource has neither. The attack surface does not exist — there is nothing for a security group to filter.</w:t>
      </w:r>
    </w:p>
    <w:p>
      <w:pPr>
        <w:pStyle w:val="ListParagraph"/>
        <w:numPr>
          <w:ilvl w:val="0"/>
          <w:numId w:val="2"/>
        </w:numPr>
        <w:spacing w:after="80"/>
      </w:pPr>
      <w:r>
        <w:rPr>
          <w:rFonts w:ascii="Arial" w:cs="Arial" w:eastAsia="Arial" w:hAnsi="Arial"/>
          <w:b w:val="false"/>
          <w:bCs w:val="false"/>
          <w:sz w:val="22"/>
          <w:szCs w:val="22"/>
        </w:rPr>
        <w:t xml:space="preserve">NAT Gateway enables private resources to initiate outbound connections to the internet while remaining unreachable from inbound connections. It must be placed in a public subnet with a route to the Internet Gateway.</w:t>
      </w:r>
    </w:p>
    <w:p>
      <w:pPr>
        <w:pStyle w:val="ListParagraph"/>
        <w:numPr>
          <w:ilvl w:val="0"/>
          <w:numId w:val="2"/>
        </w:numPr>
        <w:spacing w:after="80"/>
      </w:pPr>
      <w:r>
        <w:rPr>
          <w:rFonts w:ascii="Arial" w:cs="Arial" w:eastAsia="Arial" w:hAnsi="Arial"/>
          <w:b w:val="false"/>
          <w:bCs w:val="false"/>
          <w:sz w:val="22"/>
          <w:szCs w:val="22"/>
        </w:rPr>
        <w:t xml:space="preserve">The private route table routes 0.0.0.0/0 to the NAT Gateway using nat_gateway_id. The public route table routes 0.0.0.0/0 to the Internet Gateway using gateway_id. These are different argument names.</w:t>
      </w:r>
    </w:p>
    <w:p>
      <w:pPr>
        <w:pStyle w:val="ListParagraph"/>
        <w:numPr>
          <w:ilvl w:val="0"/>
          <w:numId w:val="2"/>
        </w:numPr>
        <w:spacing w:after="80"/>
      </w:pPr>
      <w:r>
        <w:rPr>
          <w:rFonts w:ascii="Arial" w:cs="Arial" w:eastAsia="Arial" w:hAnsi="Arial"/>
          <w:b w:val="false"/>
          <w:bCs w:val="false"/>
          <w:sz w:val="22"/>
          <w:szCs w:val="22"/>
        </w:rPr>
        <w:t xml:space="preserve">Multi-AZ architecture eliminates single points of failure. If one AZ fails, resources in the other AZ continue operating. This is the AWS High Availability standard for all production workloads.</w:t>
      </w:r>
    </w:p>
    <w:p>
      <w:pPr>
        <w:pStyle w:val="ListParagraph"/>
        <w:numPr>
          <w:ilvl w:val="0"/>
          <w:numId w:val="2"/>
        </w:numPr>
        <w:spacing w:after="80"/>
      </w:pPr>
      <w:r>
        <w:rPr>
          <w:rFonts w:ascii="Arial" w:cs="Arial" w:eastAsia="Arial" w:hAnsi="Arial"/>
          <w:b w:val="false"/>
          <w:bCs w:val="false"/>
          <w:sz w:val="22"/>
          <w:szCs w:val="22"/>
        </w:rPr>
        <w:t xml:space="preserve">The count meta-argument creates multiple resource instances from a single block. count.index provides the iteration number. List indexing [count.index] selects the correct value per iteration.</w:t>
      </w:r>
    </w:p>
    <w:p>
      <w:pPr>
        <w:pStyle w:val="ListParagraph"/>
        <w:numPr>
          <w:ilvl w:val="0"/>
          <w:numId w:val="2"/>
        </w:numPr>
        <w:spacing w:after="80"/>
      </w:pPr>
      <w:r>
        <w:rPr>
          <w:rFonts w:ascii="Arial" w:cs="Arial" w:eastAsia="Arial" w:hAnsi="Arial"/>
          <w:b w:val="false"/>
          <w:bCs w:val="false"/>
          <w:sz w:val="22"/>
          <w:szCs w:val="22"/>
        </w:rPr>
        <w:t xml:space="preserve">The splat expression [*] collects a specific attribute from every counted resource instance and returns them as a list. aws_subnet.public[*].id returns all public subnet IDs as ["id1", "id2"].</w:t>
      </w:r>
    </w:p>
    <w:p>
      <w:pPr>
        <w:pStyle w:val="ListParagraph"/>
        <w:numPr>
          <w:ilvl w:val="0"/>
          <w:numId w:val="2"/>
        </w:numPr>
        <w:spacing w:after="80"/>
      </w:pPr>
      <w:r>
        <w:rPr>
          <w:rFonts w:ascii="Arial" w:cs="Arial" w:eastAsia="Arial" w:hAnsi="Arial"/>
          <w:b w:val="false"/>
          <w:bCs w:val="false"/>
          <w:sz w:val="22"/>
          <w:szCs w:val="22"/>
        </w:rPr>
        <w:t xml:space="preserve">depends_on forces explicit dependency ordering when Terraform cannot infer it from resource references alone. NAT Gateway requires depends_on = [aws_internet_gateway.gw] to prevent intermittent apply failures.</w:t>
      </w:r>
    </w:p>
    <w:p>
      <w:pPr>
        <w:pStyle w:val="ListParagraph"/>
        <w:numPr>
          <w:ilvl w:val="0"/>
          <w:numId w:val="2"/>
        </w:numPr>
        <w:spacing w:after="80"/>
      </w:pPr>
      <w:r>
        <w:rPr>
          <w:rFonts w:ascii="Arial" w:cs="Arial" w:eastAsia="Arial" w:hAnsi="Arial"/>
          <w:b w:val="false"/>
          <w:bCs w:val="false"/>
          <w:sz w:val="22"/>
          <w:szCs w:val="22"/>
        </w:rPr>
        <w:t xml:space="preserve">Module variable changes (adding list variables, removing subnet_cidr) require updating the module variables.tf, the module main.tf, the module outputs.tf, and the calling environment file. All four must be consistent.</w:t>
      </w:r>
    </w:p>
    <w:p>
      <w:pPr>
        <w:pStyle w:val="ListParagraph"/>
        <w:numPr>
          <w:ilvl w:val="0"/>
          <w:numId w:val="2"/>
        </w:numPr>
        <w:spacing w:after="80"/>
      </w:pPr>
      <w:r>
        <w:rPr>
          <w:rFonts w:ascii="Arial" w:cs="Arial" w:eastAsia="Arial" w:hAnsi="Arial"/>
          <w:b w:val="false"/>
          <w:bCs w:val="false"/>
          <w:sz w:val="22"/>
          <w:szCs w:val="22"/>
        </w:rPr>
        <w:t xml:space="preserve">Dead variables — variables declared but no longer used by any resource — must be removed. They add unnecessary burden on callers and signal that the module does something it does not.</w:t>
      </w:r>
    </w:p>
    <w:p>
      <w:pPr>
        <w:spacing w:after="120"/>
      </w:pPr>
      <w:r>
        <w:t xml:space="preserve"/>
      </w:r>
    </w:p>
    <w:p>
      <w:pPr>
        <w:pStyle w:val="Heading1"/>
      </w:pPr>
      <w:r>
        <w:rPr>
          <w:rFonts w:ascii="Arial" w:cs="Arial" w:eastAsia="Arial" w:hAnsi="Arial"/>
          <w:b/>
          <w:bCs/>
          <w:color w:val="1F3864"/>
          <w:sz w:val="36"/>
          <w:szCs w:val="36"/>
        </w:rPr>
        <w:t xml:space="preserve">11. Progress Assessment</w:t>
      </w:r>
    </w:p>
    <w:p>
      <w:pPr>
        <w:pStyle w:val="Heading2"/>
      </w:pPr>
      <w:r>
        <w:rPr>
          <w:rFonts w:ascii="Arial" w:cs="Arial" w:eastAsia="Arial" w:hAnsi="Arial"/>
          <w:b/>
          <w:bCs/>
          <w:color w:val="2E75B6"/>
          <w:sz w:val="28"/>
          <w:szCs w:val="28"/>
        </w:rPr>
        <w:t xml:space="preserve">11.1 Skill Level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327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Start of Session 3</w:t>
            </w:r>
          </w:p>
        </w:tc>
        <w:tc>
          <w:tcPr>
            <w:tcW w:type="dxa" w:w="327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End of Session 3</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subnet concept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Solid — understands network isolation vs access control distinction</w:t>
            </w:r>
          </w:p>
        </w:tc>
      </w:tr>
      <w:tr>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NAT Gateway</w:t>
            </w:r>
          </w:p>
        </w:tc>
        <w:tc>
          <w:tcPr>
            <w:tcW w:type="dxa" w:w="327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None</w:t>
            </w:r>
          </w:p>
        </w:tc>
        <w:tc>
          <w:tcPr>
            <w:tcW w:type="dxa" w:w="327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Applied — understands placement, routing, and outbound-only behaviour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Multi-AZ design</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Understood — knows why it exists and how it eliminates single points of failure</w:t>
            </w:r>
          </w:p>
        </w:tc>
      </w:tr>
      <w:tr>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count meta-argument</w:t>
            </w:r>
          </w:p>
        </w:tc>
        <w:tc>
          <w:tcPr>
            <w:tcW w:type="dxa" w:w="327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None</w:t>
            </w:r>
          </w:p>
        </w:tc>
        <w:tc>
          <w:tcPr>
            <w:tcW w:type="dxa" w:w="327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Applied — used correctly for subnets and route table associations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Splat expression [*]</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 used correctly in module outputs for list collection</w:t>
            </w:r>
          </w:p>
        </w:tc>
      </w:tr>
      <w:tr>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depends_on</w:t>
            </w:r>
          </w:p>
        </w:tc>
        <w:tc>
          <w:tcPr>
            <w:tcW w:type="dxa" w:w="327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None</w:t>
            </w:r>
          </w:p>
        </w:tc>
        <w:tc>
          <w:tcPr>
            <w:tcW w:type="dxa" w:w="327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Applied — added correctly to NAT Gateway with proper rationale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list(string) variables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 declared and consumed correctly throughout module</w:t>
            </w:r>
          </w:p>
        </w:tc>
      </w:tr>
      <w:tr>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Multi-AZ deployment</w:t>
            </w:r>
          </w:p>
        </w:tc>
        <w:tc>
          <w:tcPr>
            <w:tcW w:type="dxa" w:w="327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None</w:t>
            </w:r>
          </w:p>
        </w:tc>
        <w:tc>
          <w:tcPr>
            <w:tcW w:type="dxa" w:w="327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Achieved — deployed and verified 4-subnet architecture in live AWS</w:t>
            </w:r>
          </w:p>
        </w:tc>
      </w:tr>
    </w:tbl>
    <w:p>
      <w:pPr>
        <w:spacing w:after="120"/>
      </w:pPr>
      <w:r>
        <w:t xml:space="preserve"/>
      </w:r>
    </w:p>
    <w:p>
      <w:pPr>
        <w:pStyle w:val="Heading2"/>
      </w:pPr>
      <w:r>
        <w:rPr>
          <w:rFonts w:ascii="Arial" w:cs="Arial" w:eastAsia="Arial" w:hAnsi="Arial"/>
          <w:b/>
          <w:bCs/>
          <w:color w:val="2E75B6"/>
          <w:sz w:val="28"/>
          <w:szCs w:val="28"/>
        </w:rPr>
        <w:t xml:space="preserve">11.2 Notable Strengths Observed</w:t>
      </w:r>
    </w:p>
    <w:p>
      <w:pPr>
        <w:pStyle w:val="ListParagraph"/>
        <w:numPr>
          <w:ilvl w:val="0"/>
          <w:numId w:val="2"/>
        </w:numPr>
        <w:spacing w:after="80"/>
      </w:pPr>
      <w:r>
        <w:rPr>
          <w:rFonts w:ascii="Arial" w:cs="Arial" w:eastAsia="Arial" w:hAnsi="Arial"/>
          <w:b w:val="false"/>
          <w:bCs w:val="false"/>
          <w:sz w:val="22"/>
          <w:szCs w:val="22"/>
        </w:rPr>
        <w:t xml:space="preserve">Strong conceptual grasp of networking fundamentals — correctly identified attack surface, DoS, and data breach risks before routing concepts were introduced.</w:t>
      </w:r>
    </w:p>
    <w:p>
      <w:pPr>
        <w:pStyle w:val="ListParagraph"/>
        <w:numPr>
          <w:ilvl w:val="0"/>
          <w:numId w:val="2"/>
        </w:numPr>
        <w:spacing w:after="80"/>
      </w:pPr>
      <w:r>
        <w:rPr>
          <w:rFonts w:ascii="Arial" w:cs="Arial" w:eastAsia="Arial" w:hAnsi="Arial"/>
          <w:b w:val="false"/>
          <w:bCs w:val="false"/>
          <w:sz w:val="22"/>
          <w:szCs w:val="22"/>
        </w:rPr>
        <w:t xml:space="preserve">Correct routing pattern recall — public → IGW, private → NAT Gateway — answered without hesitation once the concepts were established.</w:t>
      </w:r>
    </w:p>
    <w:p>
      <w:pPr>
        <w:pStyle w:val="ListParagraph"/>
        <w:numPr>
          <w:ilvl w:val="0"/>
          <w:numId w:val="2"/>
        </w:numPr>
        <w:spacing w:after="80"/>
      </w:pPr>
      <w:r>
        <w:rPr>
          <w:rFonts w:ascii="Arial" w:cs="Arial" w:eastAsia="Arial" w:hAnsi="Arial"/>
          <w:b w:val="false"/>
          <w:bCs w:val="false"/>
          <w:sz w:val="22"/>
          <w:szCs w:val="22"/>
        </w:rPr>
        <w:t xml:space="preserve">Clean environment file discipline maintained — provider + module call only, no resource drift into the calling environment.</w:t>
      </w:r>
    </w:p>
    <w:p>
      <w:pPr>
        <w:pStyle w:val="ListParagraph"/>
        <w:numPr>
          <w:ilvl w:val="0"/>
          <w:numId w:val="2"/>
        </w:numPr>
        <w:spacing w:after="80"/>
      </w:pPr>
      <w:r>
        <w:rPr>
          <w:rFonts w:ascii="Arial" w:cs="Arial" w:eastAsia="Arial" w:hAnsi="Arial"/>
          <w:b w:val="false"/>
          <w:bCs w:val="false"/>
          <w:sz w:val="22"/>
          <w:szCs w:val="22"/>
        </w:rPr>
        <w:t xml:space="preserve">Consistent save-and-verify approach carried over from Session 2, preventing plan failures from unsaved edits.</w:t>
      </w:r>
    </w:p>
    <w:p>
      <w:pPr>
        <w:spacing w:after="120"/>
      </w:pPr>
      <w:r>
        <w:t xml:space="preserve"/>
      </w:r>
    </w:p>
    <w:p>
      <w:pPr>
        <w:pStyle w:val="Heading2"/>
      </w:pPr>
      <w:r>
        <w:rPr>
          <w:rFonts w:ascii="Arial" w:cs="Arial" w:eastAsia="Arial" w:hAnsi="Arial"/>
          <w:b/>
          <w:bCs/>
          <w:color w:val="2E75B6"/>
          <w:sz w:val="28"/>
          <w:szCs w:val="28"/>
        </w:rPr>
        <w:t xml:space="preserve">11.3 Areas to Reinforce</w:t>
      </w:r>
    </w:p>
    <w:p>
      <w:pPr>
        <w:pStyle w:val="ListParagraph"/>
        <w:numPr>
          <w:ilvl w:val="0"/>
          <w:numId w:val="2"/>
        </w:numPr>
        <w:spacing w:after="80"/>
      </w:pPr>
      <w:r>
        <w:rPr>
          <w:rFonts w:ascii="Arial" w:cs="Arial" w:eastAsia="Arial" w:hAnsi="Arial"/>
          <w:b w:val="false"/>
          <w:bCs w:val="false"/>
          <w:sz w:val="22"/>
          <w:szCs w:val="22"/>
        </w:rPr>
        <w:t xml:space="preserve">Module variable defaults — the no-defaults rule was raised four times in this session. This pattern must become instinctive before Session 4.</w:t>
      </w:r>
    </w:p>
    <w:p>
      <w:pPr>
        <w:pStyle w:val="ListParagraph"/>
        <w:numPr>
          <w:ilvl w:val="0"/>
          <w:numId w:val="2"/>
        </w:numPr>
        <w:spacing w:after="80"/>
      </w:pPr>
      <w:r>
        <w:rPr>
          <w:rFonts w:ascii="Arial" w:cs="Arial" w:eastAsia="Arial" w:hAnsi="Arial"/>
          <w:b w:val="false"/>
          <w:bCs w:val="false"/>
          <w:sz w:val="22"/>
          <w:szCs w:val="22"/>
        </w:rPr>
        <w:t xml:space="preserve">Module boundary awareness — when a resource-level change is needed, the instinct to edit the environment file rather than the module file persists. Module = single source of truth for all resource definitions.</w:t>
      </w:r>
    </w:p>
    <w:p>
      <w:pPr>
        <w:pStyle w:val="ListParagraph"/>
        <w:numPr>
          <w:ilvl w:val="0"/>
          <w:numId w:val="2"/>
        </w:numPr>
        <w:spacing w:after="80"/>
      </w:pPr>
      <w:r>
        <w:rPr>
          <w:rFonts w:ascii="Arial" w:cs="Arial" w:eastAsia="Arial" w:hAnsi="Arial"/>
          <w:b w:val="false"/>
          <w:bCs w:val="false"/>
          <w:sz w:val="22"/>
          <w:szCs w:val="22"/>
        </w:rPr>
        <w:t xml:space="preserve">Output interface hygiene — distinguish between values that downstream configurations need (subnet IDs, SG IDs) and internal plumbing (association IDs, EIP resource IDs).</w:t>
      </w:r>
    </w:p>
    <w:p>
      <w:pPr>
        <w:pStyle w:val="ListParagraph"/>
        <w:numPr>
          <w:ilvl w:val="0"/>
          <w:numId w:val="2"/>
        </w:numPr>
        <w:spacing w:after="80"/>
      </w:pPr>
      <w:r>
        <w:rPr>
          <w:rFonts w:ascii="Arial" w:cs="Arial" w:eastAsia="Arial" w:hAnsi="Arial"/>
          <w:b w:val="false"/>
          <w:bCs w:val="false"/>
          <w:sz w:val="22"/>
          <w:szCs w:val="22"/>
        </w:rPr>
        <w:t xml:space="preserve">Reference consistency — when renaming a resource, all references to that resource must be updated simultaneously. Name mismatches (nat vs nat_eip) cause apply failures.</w:t>
      </w:r>
    </w:p>
    <w:p>
      <w:pPr>
        <w:spacing w:after="120"/>
      </w:pPr>
      <w:r>
        <w:t xml:space="preserve"/>
      </w:r>
    </w:p>
    <w:p>
      <w:pPr>
        <w:pStyle w:val="Heading1"/>
      </w:pPr>
      <w:r>
        <w:rPr>
          <w:rFonts w:ascii="Arial" w:cs="Arial" w:eastAsia="Arial" w:hAnsi="Arial"/>
          <w:b/>
          <w:bCs/>
          <w:color w:val="1F3864"/>
          <w:sz w:val="36"/>
          <w:szCs w:val="36"/>
        </w:rPr>
        <w:t xml:space="preserve">12. Session 4 — Preview and Preparation</w:t>
      </w:r>
    </w:p>
    <w:p>
      <w:pPr>
        <w:pStyle w:val="Heading2"/>
      </w:pPr>
      <w:r>
        <w:rPr>
          <w:rFonts w:ascii="Arial" w:cs="Arial" w:eastAsia="Arial" w:hAnsi="Arial"/>
          <w:b/>
          <w:bCs/>
          <w:color w:val="2E75B6"/>
          <w:sz w:val="28"/>
          <w:szCs w:val="28"/>
        </w:rPr>
        <w:t xml:space="preserve">12.1 Upcoming Topics</w:t>
      </w:r>
    </w:p>
    <w:p>
      <w:pPr>
        <w:pStyle w:val="ListParagraph"/>
        <w:numPr>
          <w:ilvl w:val="0"/>
          <w:numId w:val="2"/>
        </w:numPr>
        <w:spacing w:after="80"/>
      </w:pPr>
      <w:r>
        <w:rPr>
          <w:rFonts w:ascii="Arial" w:cs="Arial" w:eastAsia="Arial" w:hAnsi="Arial"/>
          <w:b w:val="false"/>
          <w:bCs w:val="false"/>
          <w:sz w:val="22"/>
          <w:szCs w:val="22"/>
        </w:rPr>
        <w:t xml:space="preserve">Terraform Remote State — storing state in S3 instead of locally, enabling team collaboration and cross-configuration state sharing</w:t>
      </w:r>
    </w:p>
    <w:p>
      <w:pPr>
        <w:pStyle w:val="ListParagraph"/>
        <w:numPr>
          <w:ilvl w:val="0"/>
          <w:numId w:val="2"/>
        </w:numPr>
        <w:spacing w:after="80"/>
      </w:pPr>
      <w:r>
        <w:rPr>
          <w:rFonts w:ascii="Arial" w:cs="Arial" w:eastAsia="Arial" w:hAnsi="Arial"/>
          <w:b w:val="false"/>
          <w:bCs w:val="false"/>
          <w:sz w:val="22"/>
          <w:szCs w:val="22"/>
        </w:rPr>
        <w:t xml:space="preserve">State Locking — DynamoDB-backed state locking to prevent concurrent modifications</w:t>
      </w:r>
    </w:p>
    <w:p>
      <w:pPr>
        <w:pStyle w:val="ListParagraph"/>
        <w:numPr>
          <w:ilvl w:val="0"/>
          <w:numId w:val="2"/>
        </w:numPr>
        <w:spacing w:after="80"/>
      </w:pPr>
      <w:r>
        <w:rPr>
          <w:rFonts w:ascii="Arial" w:cs="Arial" w:eastAsia="Arial" w:hAnsi="Arial"/>
          <w:b w:val="false"/>
          <w:bCs w:val="false"/>
          <w:sz w:val="22"/>
          <w:szCs w:val="22"/>
        </w:rPr>
        <w:t xml:space="preserve">terraform_remote_state data source — consuming outputs from a separate Terraform configuration managed by a different team</w:t>
      </w:r>
    </w:p>
    <w:p>
      <w:pPr>
        <w:pStyle w:val="ListParagraph"/>
        <w:numPr>
          <w:ilvl w:val="0"/>
          <w:numId w:val="2"/>
        </w:numPr>
        <w:spacing w:after="80"/>
      </w:pPr>
      <w:r>
        <w:rPr>
          <w:rFonts w:ascii="Arial" w:cs="Arial" w:eastAsia="Arial" w:hAnsi="Arial"/>
          <w:b w:val="false"/>
          <w:bCs w:val="false"/>
          <w:sz w:val="22"/>
          <w:szCs w:val="22"/>
        </w:rPr>
        <w:t xml:space="preserve">Terraform Workspaces — an alternative environment isolation pattern</w:t>
      </w:r>
    </w:p>
    <w:p>
      <w:pPr>
        <w:spacing w:after="120"/>
      </w:pPr>
      <w:r>
        <w:t xml:space="preserve"/>
      </w:r>
    </w:p>
    <w:p>
      <w:pPr>
        <w:pStyle w:val="Heading2"/>
      </w:pPr>
      <w:r>
        <w:rPr>
          <w:rFonts w:ascii="Arial" w:cs="Arial" w:eastAsia="Arial" w:hAnsi="Arial"/>
          <w:b/>
          <w:bCs/>
          <w:color w:val="2E75B6"/>
          <w:sz w:val="28"/>
          <w:szCs w:val="28"/>
        </w:rPr>
        <w:t xml:space="preserve">12.2 Preparation Recommendations</w:t>
      </w:r>
    </w:p>
    <w:p>
      <w:pPr>
        <w:pStyle w:val="ListParagraph"/>
        <w:numPr>
          <w:ilvl w:val="0"/>
          <w:numId w:val="2"/>
        </w:numPr>
        <w:spacing w:after="80"/>
      </w:pPr>
      <w:r>
        <w:rPr>
          <w:rFonts w:ascii="Arial" w:cs="Arial" w:eastAsia="Arial" w:hAnsi="Arial"/>
          <w:b w:val="false"/>
          <w:bCs w:val="false"/>
          <w:sz w:val="22"/>
          <w:szCs w:val="22"/>
        </w:rPr>
        <w:t xml:space="preserve">Review the complete Session 3 module structure without reference material — understand each file's role and each resource's purpose</w:t>
      </w:r>
    </w:p>
    <w:p>
      <w:pPr>
        <w:pStyle w:val="ListParagraph"/>
        <w:numPr>
          <w:ilvl w:val="0"/>
          <w:numId w:val="2"/>
        </w:numPr>
        <w:spacing w:after="80"/>
      </w:pPr>
      <w:r>
        <w:rPr>
          <w:rFonts w:ascii="Arial" w:cs="Arial" w:eastAsia="Arial" w:hAnsi="Arial"/>
          <w:b w:val="false"/>
          <w:bCs w:val="false"/>
          <w:sz w:val="22"/>
          <w:szCs w:val="22"/>
        </w:rPr>
        <w:t xml:space="preserve">Review the routing table pattern: public → IGW, private → NAT Gateway. This will be assumed knowledge in all future sessions.</w:t>
      </w:r>
    </w:p>
    <w:p>
      <w:pPr>
        <w:pStyle w:val="ListParagraph"/>
        <w:numPr>
          <w:ilvl w:val="0"/>
          <w:numId w:val="2"/>
        </w:numPr>
        <w:spacing w:after="80"/>
      </w:pPr>
      <w:r>
        <w:rPr>
          <w:rFonts w:ascii="Arial" w:cs="Arial" w:eastAsia="Arial" w:hAnsi="Arial"/>
          <w:b w:val="false"/>
          <w:bCs w:val="false"/>
          <w:sz w:val="22"/>
          <w:szCs w:val="22"/>
        </w:rPr>
        <w:t xml:space="preserve">Read the AWS documentation on S3 as a Terraform backend — understand why local state is insufficient for team environments</w:t>
      </w:r>
    </w:p>
    <w:p>
      <w:pPr>
        <w:pStyle w:val="ListParagraph"/>
        <w:numPr>
          <w:ilvl w:val="0"/>
          <w:numId w:val="2"/>
        </w:numPr>
        <w:spacing w:after="80"/>
      </w:pPr>
      <w:r>
        <w:rPr>
          <w:rFonts w:ascii="Arial" w:cs="Arial" w:eastAsia="Arial" w:hAnsi="Arial"/>
          <w:b w:val="false"/>
          <w:bCs w:val="false"/>
          <w:sz w:val="22"/>
          <w:szCs w:val="22"/>
        </w:rPr>
        <w:t xml:space="preserve">Consider: if two engineers run terraform apply simultaneously against the same state file, what could go wrong? This will be the opening question for Session 4.</w:t>
      </w:r>
    </w:p>
    <w:p>
      <w:pPr>
        <w:spacing w:after="120"/>
      </w:pPr>
      <w:r>
        <w:t xml:space="preserve"/>
      </w:r>
    </w:p>
    <w:p>
      <w:pPr>
        <w:pStyle w:val="Heading2"/>
      </w:pPr>
      <w:r>
        <w:rPr>
          <w:rFonts w:ascii="Arial" w:cs="Arial" w:eastAsia="Arial" w:hAnsi="Arial"/>
          <w:b/>
          <w:bCs/>
          <w:color w:val="2E75B6"/>
          <w:sz w:val="28"/>
          <w:szCs w:val="28"/>
        </w:rPr>
        <w:t xml:space="preserve">12.3 Four-Phase Learning Roadmap — Current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1440"/>
        <w:gridCol w:w="2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Current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as Code — Terraform fundamentals, modules, remote state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1–3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Progress — Session 3 of 3 complete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Phase 2</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Cloud Networking and Security — Public/private subnets, NAT, VPN, Zero-Trust</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Weeks 4–6</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Upcoming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 and Containers — Cluster architecture, deployments, services, Helm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7–10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Upcoming</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Phase 4</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SRE and Observability — Monitoring, alerting, SLOs, incident response</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Weeks 11–13</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Upcoming</w:t>
            </w:r>
          </w:p>
        </w:tc>
      </w:tr>
    </w:tbl>
    <w:p>
      <w:pPr>
        <w:spacing w:after="120"/>
      </w:pPr>
      <w:r>
        <w:t xml:space="preserve"/>
      </w:r>
    </w:p>
    <w:p>
      <w:pPr>
        <w:pStyle w:val="Heading1"/>
      </w:pPr>
      <w:r>
        <w:rPr>
          <w:rFonts w:ascii="Arial" w:cs="Arial" w:eastAsia="Arial" w:hAnsi="Arial"/>
          <w:b/>
          <w:bCs/>
          <w:color w:val="1F3864"/>
          <w:sz w:val="36"/>
          <w:szCs w:val="36"/>
        </w:rPr>
        <w:t xml:space="preserve">13. Closing Notes</w:t>
      </w:r>
    </w:p>
    <w:p>
      <w:pPr>
        <w:spacing w:after="120"/>
      </w:pPr>
      <w:r>
        <w:rPr>
          <w:rFonts w:ascii="Arial" w:cs="Arial" w:eastAsia="Arial" w:hAnsi="Arial"/>
          <w:sz w:val="22"/>
          <w:szCs w:val="22"/>
        </w:rPr>
        <w:t xml:space="preserve">Session 3 marks the completion of Phase 1 of the learning programme. Over three sessions, the progression has been substantial: from zero Terraform experience to a live, production-grade multi-AZ AWS VPC architecture — the same networking foundation deployed by professional cloud engineering teams.</w:t>
      </w:r>
    </w:p>
    <w:p>
      <w:pPr>
        <w:spacing w:after="120"/>
      </w:pPr>
      <w:r>
        <w:rPr>
          <w:rFonts w:ascii="Arial" w:cs="Arial" w:eastAsia="Arial" w:hAnsi="Arial"/>
          <w:sz w:val="22"/>
          <w:szCs w:val="22"/>
        </w:rPr>
        <w:t xml:space="preserve">The errors made in Session 3 followed a consistent pattern: the no-defaults rule for module variables required four corrections before it landed as instinct. This is expected behaviour at this stage of learning. The rule is now established not just as a guideline but as a professional standard with a clear rationale — callers must never be surprised by hidden default values in a module they depend on.</w:t>
      </w:r>
    </w:p>
    <w:p>
      <w:pPr>
        <w:spacing w:after="120"/>
      </w:pPr>
      <w:r>
        <w:rPr>
          <w:rFonts w:ascii="Arial" w:cs="Arial" w:eastAsia="Arial" w:hAnsi="Arial"/>
          <w:sz w:val="22"/>
          <w:szCs w:val="22"/>
        </w:rPr>
        <w:t xml:space="preserve">The completion of a live 18-resource deployment spanning two Availability Zones — with correct public/private routing verified in the AWS Console Resource Map — demonstrates that the architectural concepts covered in the conceptual portion were genuinely understood, not just memorised. The routing logic came from first principles, not pattern matching.</w:t>
      </w:r>
    </w:p>
    <w:p>
      <w:pPr>
        <w:spacing w:after="120"/>
      </w:pPr>
      <w:r>
        <w:rPr>
          <w:rFonts w:ascii="Arial" w:cs="Arial" w:eastAsia="Arial" w:hAnsi="Arial"/>
          <w:sz w:val="22"/>
          <w:szCs w:val="22"/>
        </w:rPr>
        <w:t xml:space="preserve">Sessions 1 through 3 together have established the full IaC and networking foundation. Phase 2 begins with remote state — the final piece required before this infrastructure can be managed by a team rather than a single engineer.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Confidential — Student Copy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3864"/>
        <w:sz w:val="20"/>
        <w:szCs w:val="20"/>
      </w:rPr>
      <w:t xml:space="preserve">CLOUD ENGINEERING PROGRAM</w:t>
    </w:r>
    <w:r>
      <w:rPr>
        <w:rFonts w:ascii="Arial" w:cs="Arial" w:eastAsia="Arial" w:hAnsi="Arial"/>
        <w:color w:val="666666"/>
        <w:sz w:val="20"/>
        <w:szCs w:val="20"/>
      </w:rPr>
      <w:t xml:space="preserve">     Session 3 — AWS Networking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2026-02-26T13:35:58.623Z</dcterms:created>
  <dcterms:modified xsi:type="dcterms:W3CDTF">2026-02-26T13:35:58.624Z</dcterms:modified>
</cp:coreProperties>
</file>

<file path=docProps/custom.xml><?xml version="1.0" encoding="utf-8"?>
<Properties xmlns="http://schemas.openxmlformats.org/officeDocument/2006/custom-properties" xmlns:vt="http://schemas.openxmlformats.org/officeDocument/2006/docPropsVTypes"/>
</file>