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1.png" ContentType="image/jpeg"/>
  <Override PartName="/word/media/image12.png" ContentType="image/jpeg"/>
  <Override PartName="/word/media/image13.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526B83"/>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94F73"/>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94F73"/>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2F"/>
                <w:sz w:val="19"/>
              </w:rPr>
              <w:t>1.4 • September 14, 2026</w:t>
            </w:r>
          </w:p>
        </w:tc>
        <w:tc>
          <w:tcPr>
            <w:tcW w:type="dxa" w:w="3240"/>
            <w:vAlign w:val="center"/>
            <w:tcMar>
              <w:top w:w="80" w:type="dxa"/>
              <w:start w:w="120" w:type="dxa"/>
              <w:bottom w:w="80" w:type="dxa"/>
              <w:end w:w="120" w:type="dxa"/>
            </w:tcMar>
          </w:tcPr>
          <w:p>
            <w:pPr>
              <w:spacing w:after="0"/>
            </w:pPr>
            <w:r/>
            <w:r>
              <w:rPr>
                <w:rFonts w:ascii="Calibri" w:hAnsi="Calibri"/>
                <w:b w:val="0"/>
                <w:color w:val="18232F"/>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2F"/>
                <w:sz w:val="19"/>
              </w:rPr>
              <w:t>Scent, Games, and Combined trials</w:t>
            </w:r>
          </w:p>
        </w:tc>
      </w:tr>
    </w:tbl>
    <w:p>
      <w:r>
        <w:rPr>
          <w:i/>
        </w:rPr>
        <w:t>This manual explains the secretary’s administrative workflow. The current SDDA rulebook, sanction approval, premium list, judge’s instructions, and official SDDA forms remain controlling if they conflict with this guide.</w:t>
      </w:r>
    </w:p>
    <w:p>
      <w:r>
        <w:rPr>
          <w:b/>
        </w:rPr>
        <w:t>Updated in this edition:</w:t>
      </w:r>
      <w:r>
        <w:t xml:space="preserve"> every primary TrialDesk page was re-audited, current workflow screenshots were added, Trial Team and Activity Journal instructions were expanded, and a page-and-button glossary was added. Screenshots were captured from Example Trial without saving operational changes.</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p>
      <w:pPr>
        <w:pStyle w:val="ListBullet"/>
      </w:pPr>
      <w:r>
        <w:t>13. Page and button glossary</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94F73"/>
        </w:rPr>
        <w:t xml:space="preserve">1. Confirm the judge and venue. </w:t>
      </w:r>
      <w:r>
        <w:t>Consult the judge about whether the search areas are suitable for every proposed level, component, and Game.</w:t>
      </w:r>
    </w:p>
    <w:p>
      <w:pPr>
        <w:ind w:left="72" w:hanging="72"/>
      </w:pPr>
      <w:r>
        <w:rPr>
          <w:b/>
          <w:color w:val="294F73"/>
        </w:rPr>
        <w:t xml:space="preserve">2. Submit the SDDA trial application. </w:t>
      </w:r>
      <w:r>
        <w:t>The rulebook requires the relevant application, judge, venue, and contact information at least 60 days before the trial.</w:t>
      </w:r>
    </w:p>
    <w:p>
      <w:pPr>
        <w:ind w:left="72" w:hanging="72"/>
      </w:pPr>
      <w:r>
        <w:rPr>
          <w:b/>
          <w:color w:val="294F73"/>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94F73"/>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94F73"/>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94F73"/>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Trial name, host club, venue name, full address, and trial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6155015"/>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 TrialDesk dashboard. Select an existing trial or start a new draft; the operation links follow the trial through setup, entries, running order, sheets, scoring, results, export, and closeout.</w:t>
      </w:r>
    </w:p>
    <w:p>
      <w:pPr>
        <w:ind w:left="72" w:hanging="72"/>
      </w:pPr>
      <w:r>
        <w:rPr>
          <w:b/>
          <w:color w:val="294F73"/>
        </w:rPr>
        <w:t xml:space="preserve">1. Sign in. </w:t>
      </w:r>
      <w:r>
        <w:t>Use the secretary account assigned to the trial.</w:t>
      </w:r>
    </w:p>
    <w:p>
      <w:pPr>
        <w:ind w:left="72" w:hanging="72"/>
      </w:pPr>
      <w:r>
        <w:rPr>
          <w:b/>
          <w:color w:val="294F73"/>
        </w:rPr>
        <w:t xml:space="preserve">2. Select Create trial. </w:t>
      </w:r>
      <w:r>
        <w:t>Use the left menu or the dashboard button.</w:t>
      </w:r>
    </w:p>
    <w:p>
      <w:pPr>
        <w:ind w:left="72" w:hanging="72"/>
      </w:pPr>
      <w:r>
        <w:rPr>
          <w:b/>
          <w:color w:val="294F73"/>
        </w:rPr>
        <w:t xml:space="preserve">3. Enter trial details. </w:t>
      </w:r>
      <w:r>
        <w:t>Use a recognizable trial name, the legal host/club name, and the complete venue address shown to competitors.</w:t>
      </w:r>
    </w:p>
    <w:p>
      <w:pPr>
        <w:ind w:left="72" w:hanging="72"/>
      </w:pPr>
      <w:r>
        <w:rPr>
          <w:b/>
          <w:color w:val="294F73"/>
        </w:rPr>
        <w:t xml:space="preserve">4. Choose the trial format. </w:t>
      </w:r>
      <w:r>
        <w:t>Choose Scent, Games, or Combined. Combined presents both workflows in the same trial workspace.</w:t>
      </w:r>
    </w:p>
    <w:p>
      <w:pPr>
        <w:ind w:left="72" w:hanging="72"/>
      </w:pPr>
      <w:r>
        <w:rPr>
          <w:b/>
          <w:color w:val="294F73"/>
        </w:rPr>
        <w:t xml:space="preserve">5. Add the trial dates. </w:t>
      </w:r>
      <w:r>
        <w:t>Enter unique dates in chronological order. Each becomes a separate trial day in TrialDesk. TrialDesk currently accepts one to four dates; this is an application limit, not an SDDA rule.</w:t>
      </w:r>
    </w:p>
    <w:p>
      <w:pPr>
        <w:ind w:left="72" w:hanging="72"/>
      </w:pPr>
      <w:r>
        <w:rPr>
          <w:b/>
          <w:color w:val="294F73"/>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6155015"/>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6155015"/>
                    </a:xfrm>
                    <a:prstGeom prst="rect"/>
                  </pic:spPr>
                </pic:pic>
              </a:graphicData>
            </a:graphic>
          </wp:inline>
        </w:drawing>
      </w:r>
    </w:p>
    <w:p>
      <w:pPr>
        <w:spacing w:after="160"/>
        <w:jc w:val="center"/>
      </w:pPr>
      <w:r>
        <w:rPr>
          <w:i/>
          <w:color w:val="637080"/>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pPr>
        <w:pStyle w:val="Heading2"/>
      </w:pPr>
      <w:r>
        <w:t>2.1 Edit an existing trial</w:t>
      </w:r>
    </w:p>
    <w:p>
      <w:pPr>
        <w:ind w:left="72" w:hanging="72"/>
      </w:pPr>
      <w:r>
        <w:rPr>
          <w:b/>
          <w:color w:val="294F73"/>
        </w:rPr>
        <w:t xml:space="preserve">1. Open All Trials. </w:t>
      </w:r>
      <w:r>
        <w:t>Find the trial and select Edit trial. The same editor is available from the trial's edit address.</w:t>
      </w:r>
    </w:p>
    <w:p>
      <w:pPr>
        <w:ind w:left="72" w:hanging="72"/>
      </w:pPr>
      <w:r>
        <w:rPr>
          <w:b/>
          <w:color w:val="294F73"/>
        </w:rPr>
        <w:t xml:space="preserve">2. Update trial identity. </w:t>
      </w:r>
      <w:r>
        <w:t>Change the trial name, host club, venue/address, or Scent/Games/Combined format, then select Save trial changes.</w:t>
      </w:r>
    </w:p>
    <w:p>
      <w:pPr>
        <w:ind w:left="72" w:hanging="72"/>
      </w:pPr>
      <w:r>
        <w:rPr>
          <w:b/>
          <w:color w:val="294F73"/>
        </w:rPr>
        <w:t xml:space="preserve">3. Update trial days. </w:t>
      </w:r>
      <w:r>
        <w:t>Revise dates, add days up to the four-day TrialDesk limit, or remove only the final day. Enter dates chronologically and select Save trial days.</w:t>
      </w:r>
    </w:p>
    <w:p>
      <w:r>
        <w:t>Date changes preserve each existing Day number and everything attached to it. Removing a day is blocked until its offerings are cleared and it contains no competitor runs. Reopen a completed trial before making schedule changes.</w:t>
      </w:r>
    </w:p>
    <w:p>
      <w:pPr>
        <w:pStyle w:val="Heading2"/>
      </w:pPr>
      <w:r>
        <w:t>2.2 Copy a trial</w:t>
      </w:r>
    </w:p>
    <w:p>
      <w:pPr>
        <w:ind w:left="72" w:hanging="72"/>
      </w:pPr>
      <w:r>
        <w:rPr>
          <w:b/>
          <w:color w:val="294F73"/>
        </w:rPr>
        <w:t xml:space="preserve">1. Select Copy trial. </w:t>
      </w:r>
      <w:r>
        <w:t>Use the control on an All Trials card or at the bottom of Edit trial.</w:t>
      </w:r>
    </w:p>
    <w:p>
      <w:pPr>
        <w:ind w:left="72" w:hanging="72"/>
      </w:pPr>
      <w:r>
        <w:rPr>
          <w:b/>
          <w:color w:val="294F73"/>
        </w:rPr>
        <w:t xml:space="preserve">2. Name the new trial and enter its dates. </w:t>
      </w:r>
      <w:r>
        <w:t>Provide one new chronological date for every day in the source trial.</w:t>
      </w:r>
    </w:p>
    <w:p>
      <w:pPr>
        <w:ind w:left="72" w:hanging="72"/>
      </w:pPr>
      <w:r>
        <w:rPr>
          <w:b/>
          <w:color w:val="294F73"/>
        </w:rPr>
        <w:t xml:space="preserve">3. Review the copy boundary. </w:t>
      </w:r>
      <w:r>
        <w:t>TrialDesk copies the club, venue, format, public instructions, pricing, capacities, FEO settings, and offerings. It does not copy entries, dogs, runs, scores, payments, expenses, trial numbers, or judges.</w:t>
      </w:r>
    </w:p>
    <w:p>
      <w:pPr>
        <w:ind w:left="72" w:hanging="72"/>
      </w:pPr>
      <w:r>
        <w:rPr>
          <w:b/>
          <w:color w:val="294F73"/>
        </w:rPr>
        <w:t xml:space="preserve">4. Create draft copy. </w:t>
      </w:r>
      <w:r>
        <w:t>Open the new draft, review every setting, enter new trial numbers and judges, and only then open entries.</w:t>
      </w:r>
    </w:p>
    <w:p>
      <w:r>
        <w:br w:type="page"/>
      </w:r>
    </w:p>
    <w:p>
      <w:pPr>
        <w:pStyle w:val="Heading1"/>
      </w:pPr>
      <w:r>
        <w:t>3. Configure the draft trial</w:t>
      </w:r>
    </w:p>
    <w:p>
      <w:pPr>
        <w:keepNext/>
        <w:jc w:val="center"/>
      </w:pPr>
      <w:r>
        <w:drawing>
          <wp:inline xmlns:a="http://schemas.openxmlformats.org/drawingml/2006/main" xmlns:pic="http://schemas.openxmlformats.org/drawingml/2006/picture">
            <wp:extent cx="6217920" cy="6155015"/>
            <wp:docPr id="3" name="Picture 3" descr="Trial setup workflow and checklist"/>
            <wp:cNvGraphicFramePr>
              <a:graphicFrameLocks noChangeAspect="1"/>
            </wp:cNvGraphicFramePr>
            <a:graphic>
              <a:graphicData uri="http://schemas.openxmlformats.org/drawingml/2006/picture">
                <pic:pic>
                  <pic:nvPicPr>
                    <pic:cNvPr id="0" name="11-trial-setup.png"/>
                    <pic:cNvPicPr/>
                  </pic:nvPicPr>
                  <pic:blipFill>
                    <a:blip r:embed="rId13"/>
                    <a:stretch>
                      <a:fillRect/>
                    </a:stretch>
                  </pic:blipFill>
                  <pic:spPr>
                    <a:xfrm>
                      <a:off x="0" y="0"/>
                      <a:ext cx="6217920" cy="6155015"/>
                    </a:xfrm>
                    <a:prstGeom prst="rect"/>
                  </pic:spPr>
                </pic:pic>
              </a:graphicData>
            </a:graphic>
          </wp:inline>
        </w:drawing>
      </w:r>
    </w:p>
    <w:p>
      <w:pPr>
        <w:spacing w:after="160"/>
        <w:jc w:val="center"/>
      </w:pPr>
      <w:r>
        <w:rPr>
          <w:i/>
          <w:color w:val="637080"/>
          <w:sz w:val="17"/>
        </w:rPr>
        <w:t>Figure 3. Trial setup dashboard. The workflow row, operational summary, setup checklist, and trial operation links keep the secretary’s work in one place.</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94F73"/>
        </w:rPr>
        <w:t xml:space="preserve">1. Enter the trial secretary. </w:t>
      </w:r>
      <w:r>
        <w:t>Provide the name, monitored email address, and optional phone number.</w:t>
      </w:r>
    </w:p>
    <w:p>
      <w:pPr>
        <w:ind w:left="72" w:hanging="72"/>
      </w:pPr>
      <w:r>
        <w:rPr>
          <w:b/>
          <w:color w:val="294F73"/>
        </w:rPr>
        <w:t xml:space="preserve">2. Write payment instructions. </w:t>
      </w:r>
      <w:r>
        <w:t>State when payment is due, method, recipient, reference information, and the consequence of non-payment.</w:t>
      </w:r>
    </w:p>
    <w:p>
      <w:pPr>
        <w:ind w:left="72" w:hanging="72"/>
      </w:pPr>
      <w:r>
        <w:rPr>
          <w:b/>
          <w:color w:val="294F73"/>
        </w:rPr>
        <w:t xml:space="preserve">3. Enter cancellation/refund terms. </w:t>
      </w:r>
      <w:r>
        <w:t>Match the approved Premium List. Keep this text current if SDDA-approved arrangements change.</w:t>
      </w:r>
    </w:p>
    <w:p>
      <w:pPr>
        <w:ind w:left="72" w:hanging="72"/>
      </w:pPr>
      <w:r>
        <w:rPr>
          <w:b/>
          <w:color w:val="294F73"/>
        </w:rPr>
        <w:t xml:space="preserve">4. Save public details. </w:t>
      </w:r>
      <w:r>
        <w:t>These details appear on the competitor entry form.</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94F73"/>
        </w:rPr>
        <w:t xml:space="preserve">1. Enter SDDA trial number and day judge. </w:t>
      </w:r>
      <w:r>
        <w:t>They may be saved or replaced later if the assignment changes.</w:t>
      </w:r>
    </w:p>
    <w:p>
      <w:pPr>
        <w:ind w:left="72" w:hanging="72"/>
      </w:pPr>
      <w:r>
        <w:rPr>
          <w:b/>
          <w:color w:val="294F73"/>
        </w:rPr>
        <w:t xml:space="preserve">2. Enter Scent pricing. </w:t>
      </w:r>
      <w:r>
        <w:t>Set individual component, three-component package, and Elite fees. TrialDesk uses them to calculate accepted-entry balances.</w:t>
      </w:r>
    </w:p>
    <w:p>
      <w:pPr>
        <w:ind w:left="72" w:hanging="72"/>
      </w:pPr>
      <w:r>
        <w:rPr>
          <w:b/>
          <w:color w:val="294F73"/>
        </w:rPr>
        <w:t xml:space="preserve">3. Save setup. </w:t>
      </w:r>
      <w:r>
        <w:t>Do this before opening or copying the entry form link.</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pPr>
        <w:pStyle w:val="Heading2"/>
      </w:pPr>
      <w:r>
        <w:t>3.6 Give another secretary access</w:t>
      </w:r>
    </w:p>
    <w:p>
      <w:pPr>
        <w:keepNext/>
        <w:jc w:val="center"/>
      </w:pPr>
      <w:r>
        <w:drawing>
          <wp:inline xmlns:a="http://schemas.openxmlformats.org/drawingml/2006/main" xmlns:pic="http://schemas.openxmlformats.org/drawingml/2006/picture">
            <wp:extent cx="5852160" cy="5792955"/>
            <wp:docPr id="4" name="Picture 4" descr="Trial Team access management"/>
            <wp:cNvGraphicFramePr>
              <a:graphicFrameLocks noChangeAspect="1"/>
            </wp:cNvGraphicFramePr>
            <a:graphic>
              <a:graphicData uri="http://schemas.openxmlformats.org/drawingml/2006/picture">
                <pic:pic>
                  <pic:nvPicPr>
                    <pic:cNvPr id="0" name="12-trial-team.png"/>
                    <pic:cNvPicPr/>
                  </pic:nvPicPr>
                  <pic:blipFill>
                    <a:blip r:embed="rId14"/>
                    <a:stretch>
                      <a:fillRect/>
                    </a:stretch>
                  </pic:blipFill>
                  <pic:spPr>
                    <a:xfrm>
                      <a:off x="0" y="0"/>
                      <a:ext cx="5852160" cy="5792955"/>
                    </a:xfrm>
                    <a:prstGeom prst="rect"/>
                  </pic:spPr>
                </pic:pic>
              </a:graphicData>
            </a:graphic>
          </wp:inline>
        </w:drawing>
      </w:r>
    </w:p>
    <w:p>
      <w:pPr>
        <w:spacing w:after="160"/>
        <w:jc w:val="center"/>
      </w:pPr>
      <w:r>
        <w:rPr>
          <w:i/>
          <w:color w:val="637080"/>
          <w:sz w:val="17"/>
        </w:rPr>
        <w:t>Figure 4. Trial Team. Add an already registered TrialDesk user as Secretary, Assistant, or Viewer.</w:t>
      </w:r>
    </w:p>
    <w:p>
      <w:pPr>
        <w:ind w:left="72" w:hanging="72"/>
      </w:pPr>
      <w:r>
        <w:rPr>
          <w:b/>
          <w:color w:val="294F73"/>
        </w:rPr>
        <w:t xml:space="preserve">1. Open Trial Team. </w:t>
      </w:r>
      <w:r>
        <w:t>Use the trial sidebar or the Trial operations buttons on Trial Details.</w:t>
      </w:r>
    </w:p>
    <w:p>
      <w:pPr>
        <w:ind w:left="72" w:hanging="72"/>
      </w:pPr>
      <w:r>
        <w:rPr>
          <w:b/>
          <w:color w:val="294F73"/>
        </w:rPr>
        <w:t xml:space="preserve">2. Enter the registered email. </w:t>
      </w:r>
      <w:r>
        <w:t>The person must already have registered and confirmed that exact email address.</w:t>
      </w:r>
    </w:p>
    <w:p>
      <w:pPr>
        <w:ind w:left="72" w:hanging="72"/>
      </w:pPr>
      <w:r>
        <w:rPr>
          <w:b/>
          <w:color w:val="294F73"/>
        </w:rPr>
        <w:t xml:space="preserve">3. Choose a role. </w:t>
      </w:r>
      <w:r>
        <w:t>Secretary has operational access, Assistant supports trial work, and Viewer has read-only access.</w:t>
      </w:r>
    </w:p>
    <w:p>
      <w:pPr>
        <w:ind w:left="72" w:hanging="72"/>
      </w:pPr>
      <w:r>
        <w:rPr>
          <w:b/>
          <w:color w:val="294F73"/>
        </w:rPr>
        <w:t xml:space="preserve">4. Select Add to trial. </w:t>
      </w:r>
      <w:r>
        <w:t>Re-enter an existing member’s email to change the role. Use the trash button only to remove a non-owner member.</w:t>
      </w:r>
    </w:p>
    <w:p>
      <w:r>
        <w:br w:type="page"/>
      </w:r>
    </w:p>
    <w:p>
      <w:pPr>
        <w:pStyle w:val="Heading1"/>
      </w:pPr>
      <w:r>
        <w:t>4. Entries: collect, import, review, and accept</w:t>
      </w:r>
    </w:p>
    <w:p>
      <w:pPr>
        <w:keepNext/>
        <w:jc w:val="center"/>
      </w:pPr>
      <w:r>
        <w:drawing>
          <wp:inline xmlns:a="http://schemas.openxmlformats.org/drawingml/2006/main" xmlns:pic="http://schemas.openxmlformats.org/drawingml/2006/picture">
            <wp:extent cx="6217920" cy="6155015"/>
            <wp:docPr id="5" name="Picture 5" descr="Entry roster controls"/>
            <wp:cNvGraphicFramePr>
              <a:graphicFrameLocks noChangeAspect="1"/>
            </wp:cNvGraphicFramePr>
            <a:graphic>
              <a:graphicData uri="http://schemas.openxmlformats.org/drawingml/2006/picture">
                <pic:pic>
                  <pic:nvPicPr>
                    <pic:cNvPr id="0" name="13-entry-roster.png"/>
                    <pic:cNvPicPr/>
                  </pic:nvPicPr>
                  <pic:blipFill>
                    <a:blip r:embed="rId15"/>
                    <a:stretch>
                      <a:fillRect/>
                    </a:stretch>
                  </pic:blipFill>
                  <pic:spPr>
                    <a:xfrm>
                      <a:off x="0" y="0"/>
                      <a:ext cx="6217920" cy="6155015"/>
                    </a:xfrm>
                    <a:prstGeom prst="rect"/>
                  </pic:spPr>
                </pic:pic>
              </a:graphicData>
            </a:graphic>
          </wp:inline>
        </w:drawing>
      </w:r>
    </w:p>
    <w:p>
      <w:pPr>
        <w:spacing w:after="160"/>
        <w:jc w:val="center"/>
      </w:pPr>
      <w:r>
        <w:rPr>
          <w:i/>
          <w:color w:val="637080"/>
          <w:sz w:val="17"/>
        </w:rPr>
        <w:t>Figure 5. Entry roster. Summary totals, search, status filter, mailing-list export, CSV import, entry editing, and secretary decisions are available from one page.</w:t>
      </w:r>
    </w:p>
    <w:p>
      <w:pPr>
        <w:pStyle w:val="Heading2"/>
      </w:pPr>
      <w:r>
        <w:t>4.1 Open and share the built-in entry form</w:t>
      </w:r>
    </w:p>
    <w:p>
      <w:pPr>
        <w:ind w:left="72" w:hanging="72"/>
      </w:pPr>
      <w:r>
        <w:rPr>
          <w:b/>
          <w:color w:val="294F73"/>
        </w:rPr>
        <w:t xml:space="preserve">1. Review the preview. </w:t>
      </w:r>
      <w:r>
        <w:t>Confirm dates, offerings, streams, FEO availability, prices, contact information, payment instructions, declaration, and cancellation terms.</w:t>
      </w:r>
    </w:p>
    <w:p>
      <w:pPr>
        <w:ind w:left="72" w:hanging="72"/>
      </w:pPr>
      <w:r>
        <w:rPr>
          <w:b/>
          <w:color w:val="294F73"/>
        </w:rPr>
        <w:t xml:space="preserve">2. Open entries. </w:t>
      </w:r>
      <w:r>
        <w:t>Use the trial’s entry-status control only after the public form is ready.</w:t>
      </w:r>
    </w:p>
    <w:p>
      <w:pPr>
        <w:ind w:left="72" w:hanging="72"/>
      </w:pPr>
      <w:r>
        <w:rPr>
          <w:b/>
          <w:color w:val="294F73"/>
        </w:rPr>
        <w:t xml:space="preserve">3. Copy entry form link. </w:t>
      </w:r>
      <w:r>
        <w:t>Send the public link or place it in the approved Premium/club communication.</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94F73"/>
        </w:rPr>
        <w:t xml:space="preserve">1. Export the Google Form responses as CSV. </w:t>
      </w:r>
      <w:r>
        <w:t>Keep the header row intact.</w:t>
      </w:r>
    </w:p>
    <w:p>
      <w:pPr>
        <w:ind w:left="72" w:hanging="72"/>
      </w:pPr>
      <w:r>
        <w:rPr>
          <w:b/>
          <w:color w:val="294F73"/>
        </w:rPr>
        <w:t xml:space="preserve">2. Open Entries / Entry roster. </w:t>
      </w:r>
      <w:r>
        <w:t>Choose the import control and select the CSV.</w:t>
      </w:r>
    </w:p>
    <w:p>
      <w:pPr>
        <w:ind w:left="72" w:hanging="72"/>
      </w:pPr>
      <w:r>
        <w:rPr>
          <w:b/>
          <w:color w:val="294F73"/>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94F73"/>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6" name="Picture 6"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6"/>
                    <a:stretch>
                      <a:fillRect/>
                    </a:stretch>
                  </pic:blipFill>
                  <pic:spPr>
                    <a:xfrm>
                      <a:off x="0" y="0"/>
                      <a:ext cx="6217920" cy="233405"/>
                    </a:xfrm>
                    <a:prstGeom prst="rect"/>
                  </pic:spPr>
                </pic:pic>
              </a:graphicData>
            </a:graphic>
          </wp:inline>
        </w:drawing>
      </w:r>
    </w:p>
    <w:p>
      <w:pPr>
        <w:spacing w:after="160"/>
        <w:jc w:val="center"/>
      </w:pPr>
      <w:r>
        <w:rPr>
          <w:i/>
          <w:color w:val="637080"/>
          <w:sz w:val="17"/>
        </w:rPr>
        <w:t>Figure 6. Sanitized Google Form response headings from the original SDDA workflow. TrialDesk imports the response selections into the unified entry roster.</w:t>
      </w:r>
    </w:p>
    <w:p>
      <w:pPr>
        <w:pStyle w:val="Heading2"/>
      </w:pPr>
      <w:r>
        <w:t>4.3 Enter a paper or day-of entry</w:t>
      </w:r>
    </w:p>
    <w:p>
      <w:pPr>
        <w:ind w:left="72" w:hanging="72"/>
      </w:pPr>
      <w:r>
        <w:rPr>
          <w:b/>
          <w:color w:val="294F73"/>
        </w:rPr>
        <w:t xml:space="preserve">1. Open Entries. </w:t>
      </w:r>
      <w:r>
        <w:t>Select Add secretary entry above the roster.</w:t>
      </w:r>
    </w:p>
    <w:p>
      <w:pPr>
        <w:ind w:left="72" w:hanging="72"/>
      </w:pPr>
      <w:r>
        <w:rPr>
          <w:b/>
          <w:color w:val="294F73"/>
        </w:rPr>
        <w:t xml:space="preserve">2. Transcribe the complete entry. </w:t>
      </w:r>
      <w:r>
        <w:t>Enter the competitor and dog information, choose every requested run, review the declaration with the competitor, and confirm the Review page before saving.</w:t>
      </w:r>
    </w:p>
    <w:p>
      <w:pPr>
        <w:ind w:left="72" w:hanging="72"/>
      </w:pPr>
      <w:r>
        <w:rPr>
          <w:b/>
          <w:color w:val="294F73"/>
        </w:rPr>
        <w:t xml:space="preserve">3. Submit and review. </w:t>
      </w:r>
      <w:r>
        <w:t>TrialDesk returns to the Entry roster. The record is identified as a manual secretary entry and the activity journal attributes it to the signed-in secretary.</w:t>
      </w:r>
    </w:p>
    <w:p>
      <w:r>
        <w:t>The same registry, offering, FEO, stream, and required-field checks used by the public form also apply to secretary-entered records. If online entries are closed, reopen the applicable entry period before adding the record, then close it again when finished.</w:t>
      </w:r>
    </w:p>
    <w:p>
      <w:pPr>
        <w:pStyle w:val="Heading2"/>
      </w:pPr>
      <w:r>
        <w:t>4.4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keepNext/>
        <w:jc w:val="center"/>
      </w:pPr>
      <w:r>
        <w:drawing>
          <wp:inline xmlns:a="http://schemas.openxmlformats.org/drawingml/2006/main" xmlns:pic="http://schemas.openxmlformats.org/drawingml/2006/picture">
            <wp:extent cx="6217920" cy="6155015"/>
            <wp:docPr id="7" name="Picture 7" descr="Running order controls"/>
            <wp:cNvGraphicFramePr>
              <a:graphicFrameLocks noChangeAspect="1"/>
            </wp:cNvGraphicFramePr>
            <a:graphic>
              <a:graphicData uri="http://schemas.openxmlformats.org/drawingml/2006/picture">
                <pic:pic>
                  <pic:nvPicPr>
                    <pic:cNvPr id="0" name="14-running-order.png"/>
                    <pic:cNvPicPr/>
                  </pic:nvPicPr>
                  <pic:blipFill>
                    <a:blip r:embed="rId17"/>
                    <a:stretch>
                      <a:fillRect/>
                    </a:stretch>
                  </pic:blipFill>
                  <pic:spPr>
                    <a:xfrm>
                      <a:off x="0" y="0"/>
                      <a:ext cx="6217920" cy="6155015"/>
                    </a:xfrm>
                    <a:prstGeom prst="rect"/>
                  </pic:spPr>
                </pic:pic>
              </a:graphicData>
            </a:graphic>
          </wp:inline>
        </w:drawing>
      </w:r>
    </w:p>
    <w:p>
      <w:pPr>
        <w:spacing w:after="160"/>
        <w:jc w:val="center"/>
      </w:pPr>
      <w:r>
        <w:rPr>
          <w:i/>
          <w:color w:val="637080"/>
          <w:sz w:val="17"/>
        </w:rPr>
        <w:t>Figure 7. Running Orders. Select a day, class, and component; apply SDDA order, assign run groups, approve move-ups, reposition runs, and save before exporting.</w:t>
      </w:r>
    </w:p>
    <w:p>
      <w:pPr>
        <w:pStyle w:val="Heading2"/>
      </w:pPr>
      <w:r>
        <w:t>5.1 Generate the initial order</w:t>
      </w:r>
    </w:p>
    <w:p>
      <w:pPr>
        <w:ind w:left="72" w:hanging="72"/>
      </w:pPr>
      <w:r>
        <w:rPr>
          <w:b/>
          <w:color w:val="294F73"/>
        </w:rPr>
        <w:t xml:space="preserve">1. Accept entries first. </w:t>
      </w:r>
      <w:r>
        <w:t>Only accepted entries become operational runs.</w:t>
      </w:r>
    </w:p>
    <w:p>
      <w:pPr>
        <w:ind w:left="72" w:hanging="72"/>
      </w:pPr>
      <w:r>
        <w:rPr>
          <w:b/>
          <w:color w:val="294F73"/>
        </w:rPr>
        <w:t xml:space="preserve">2. Open Running orders. </w:t>
      </w:r>
      <w:r>
        <w:t>Select the trial day and generate or review the order for each level/component and Game.</w:t>
      </w:r>
    </w:p>
    <w:p>
      <w:pPr>
        <w:ind w:left="72" w:hanging="72"/>
      </w:pPr>
      <w:r>
        <w:rPr>
          <w:b/>
          <w:color w:val="294F73"/>
        </w:rPr>
        <w:t xml:space="preserve">3. Apply SDDA group order. </w:t>
      </w:r>
      <w:r>
        <w:t>TrialDesk orders Scent runs as Officials, Regular, Second dog, FEO, then BIS. Games show Regular before FEO.</w:t>
      </w:r>
    </w:p>
    <w:p>
      <w:pPr>
        <w:ind w:left="72" w:hanging="72"/>
      </w:pPr>
      <w:r>
        <w:rPr>
          <w:b/>
          <w:color w:val="294F73"/>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1039470"/>
            <wp:docPr id="8" name="Picture 8"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8"/>
                    <a:stretch>
                      <a:fillRect/>
                    </a:stretch>
                  </pic:blipFill>
                  <pic:spPr>
                    <a:xfrm>
                      <a:off x="0" y="0"/>
                      <a:ext cx="6217920" cy="1039470"/>
                    </a:xfrm>
                    <a:prstGeom prst="rect"/>
                  </pic:spPr>
                </pic:pic>
              </a:graphicData>
            </a:graphic>
          </wp:inline>
        </w:drawing>
      </w:r>
    </w:p>
    <w:p>
      <w:pPr>
        <w:spacing w:after="160"/>
        <w:jc w:val="center"/>
      </w:pPr>
      <w:r>
        <w:rPr>
          <w:i/>
          <w:color w:val="637080"/>
          <w:sz w:val="17"/>
        </w:rPr>
        <w:t>Figure 8. Header from an actual TrialDesk running-order export. Each day receives its own worksheet with a day total, trial metadata, level-coloured class bands, component columns, reactive indicators, and class totals. Review the complete workbook’s names, streams, run groups, conflicts, and sequence before posting.</w:t>
      </w:r>
    </w:p>
    <w:p>
      <w:pPr>
        <w:pStyle w:val="Heading2"/>
      </w:pPr>
      <w:r>
        <w:t>5.3 Export and post</w:t>
      </w:r>
    </w:p>
    <w:p>
      <w:pPr>
        <w:ind w:left="72" w:hanging="72"/>
      </w:pPr>
      <w:r>
        <w:rPr>
          <w:b/>
          <w:color w:val="294F73"/>
        </w:rPr>
        <w:t xml:space="preserve">1. Save the running order. </w:t>
      </w:r>
      <w:r>
        <w:t>Resolve any on-screen conflict warnings.</w:t>
      </w:r>
    </w:p>
    <w:p>
      <w:pPr>
        <w:ind w:left="72" w:hanging="72"/>
      </w:pPr>
      <w:r>
        <w:rPr>
          <w:b/>
          <w:color w:val="294F73"/>
        </w:rPr>
        <w:t xml:space="preserve">2. Export running order XLSX. </w:t>
      </w:r>
      <w:r>
        <w:t>Open it in Excel and inspect every day/level/component.</w:t>
      </w:r>
    </w:p>
    <w:p>
      <w:pPr>
        <w:ind w:left="72" w:hanging="72"/>
      </w:pPr>
      <w:r>
        <w:rPr>
          <w:b/>
          <w:color w:val="294F73"/>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94F73"/>
        </w:rPr>
        <w:t xml:space="preserve">1. Open Running orders. </w:t>
      </w:r>
      <w:r>
        <w:t>Choose the day containing the run to be changed.</w:t>
      </w:r>
    </w:p>
    <w:p>
      <w:pPr>
        <w:ind w:left="72" w:hanging="72"/>
      </w:pPr>
      <w:r>
        <w:rPr>
          <w:b/>
          <w:color w:val="294F73"/>
        </w:rPr>
        <w:t xml:space="preserve">2. Find the component run. </w:t>
      </w:r>
      <w:r>
        <w:t>Confirm dog, handler, day, stream, and current level.</w:t>
      </w:r>
    </w:p>
    <w:p>
      <w:pPr>
        <w:ind w:left="72" w:hanging="72"/>
      </w:pPr>
      <w:r>
        <w:rPr>
          <w:b/>
          <w:color w:val="294F73"/>
        </w:rPr>
        <w:t xml:space="preserve">3. Select Move up. </w:t>
      </w:r>
      <w:r>
        <w:t>Review the confirmation showing the old and new level.</w:t>
      </w:r>
    </w:p>
    <w:p>
      <w:pPr>
        <w:ind w:left="72" w:hanging="72"/>
      </w:pPr>
      <w:r>
        <w:rPr>
          <w:b/>
          <w:color w:val="294F73"/>
        </w:rPr>
        <w:t xml:space="preserve">4. Confirm and regenerate. </w:t>
      </w:r>
      <w:r>
        <w:t>TrialDesk records the previous level, approval time, and approving user, then places the run in the destination offering.</w:t>
      </w:r>
    </w:p>
    <w:p>
      <w:pPr>
        <w:ind w:left="72" w:hanging="72"/>
      </w:pPr>
      <w:r>
        <w:rPr>
          <w:b/>
          <w:color w:val="294F73"/>
        </w:rPr>
        <w:t xml:space="preserve">5. Reorganize both affected orders. </w:t>
      </w:r>
      <w:r>
        <w:t>A move-up changes class counts and may create handler or official conflicts. Drag, save, re-export, and repost the affected order.</w:t>
      </w:r>
    </w:p>
    <w:p>
      <w:pPr>
        <w:ind w:left="72" w:hanging="72"/>
      </w:pPr>
      <w:r>
        <w:rPr>
          <w:b/>
          <w:color w:val="294F73"/>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keepNext/>
        <w:jc w:val="center"/>
      </w:pPr>
      <w:r>
        <w:drawing>
          <wp:inline xmlns:a="http://schemas.openxmlformats.org/drawingml/2006/main" xmlns:pic="http://schemas.openxmlformats.org/drawingml/2006/picture">
            <wp:extent cx="5120640" cy="5068836"/>
            <wp:docPr id="9" name="Picture 9" descr="Official score sheet packet page"/>
            <wp:cNvGraphicFramePr>
              <a:graphicFrameLocks noChangeAspect="1"/>
            </wp:cNvGraphicFramePr>
            <a:graphic>
              <a:graphicData uri="http://schemas.openxmlformats.org/drawingml/2006/picture">
                <pic:pic>
                  <pic:nvPicPr>
                    <pic:cNvPr id="0" name="15-score-sheets.png"/>
                    <pic:cNvPicPr/>
                  </pic:nvPicPr>
                  <pic:blipFill>
                    <a:blip r:embed="rId19"/>
                    <a:stretch>
                      <a:fillRect/>
                    </a:stretch>
                  </pic:blipFill>
                  <pic:spPr>
                    <a:xfrm>
                      <a:off x="0" y="0"/>
                      <a:ext cx="5120640" cy="5068836"/>
                    </a:xfrm>
                    <a:prstGeom prst="rect"/>
                  </pic:spPr>
                </pic:pic>
              </a:graphicData>
            </a:graphic>
          </wp:inline>
        </w:drawing>
      </w:r>
    </w:p>
    <w:p>
      <w:pPr>
        <w:spacing w:after="160"/>
        <w:jc w:val="center"/>
      </w:pPr>
      <w:r>
        <w:rPr>
          <w:i/>
          <w:color w:val="637080"/>
          <w:sz w:val="17"/>
        </w:rPr>
        <w:t>Figure 9. Official Score Sheets. Packet controls remain disabled until accepted runs have a saved running position.</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94F73"/>
        </w:rPr>
        <w:t xml:space="preserve">1. Open Score sheets. </w:t>
      </w:r>
      <w:r>
        <w:t>Confirm the displayed count against the accepted Scent run count.</w:t>
      </w:r>
    </w:p>
    <w:p>
      <w:pPr>
        <w:ind w:left="72" w:hanging="72"/>
      </w:pPr>
      <w:r>
        <w:rPr>
          <w:b/>
          <w:color w:val="294F73"/>
        </w:rPr>
        <w:t xml:space="preserve">2. Choose the required packet. </w:t>
      </w:r>
      <w:r>
        <w:t>Export the prefilled official PDF for the selected trial/day or offered set.</w:t>
      </w:r>
    </w:p>
    <w:p>
      <w:pPr>
        <w:ind w:left="72" w:hanging="72"/>
      </w:pPr>
      <w:r>
        <w:rPr>
          <w:b/>
          <w:color w:val="294F73"/>
        </w:rPr>
        <w:t xml:space="preserve">3. Inspect representative pages. </w:t>
      </w:r>
      <w:r>
        <w:t>Open at least one page for every offered level/component combination—not merely one page per level.</w:t>
      </w:r>
    </w:p>
    <w:p>
      <w:pPr>
        <w:ind w:left="72" w:hanging="72"/>
      </w:pPr>
      <w:r>
        <w:rPr>
          <w:b/>
          <w:color w:val="294F73"/>
        </w:rPr>
        <w:t xml:space="preserve">4. Verify mapped fields. </w:t>
      </w:r>
      <w:r>
        <w:t>Check trial number/date, call name, breed, SDDA number, formal alerts, stream checkbox, FEO marker, and footer sequence.</w:t>
      </w:r>
    </w:p>
    <w:p>
      <w:pPr>
        <w:ind w:left="72" w:hanging="72"/>
      </w:pPr>
      <w:r>
        <w:rPr>
          <w:b/>
          <w:color w:val="294F73"/>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4297680" cy="5561704"/>
            <wp:docPr id="10" name="Picture 10"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20"/>
                    <a:stretch>
                      <a:fillRect/>
                    </a:stretch>
                  </pic:blipFill>
                  <pic:spPr>
                    <a:xfrm>
                      <a:off x="0" y="0"/>
                      <a:ext cx="4297680" cy="5561704"/>
                    </a:xfrm>
                    <a:prstGeom prst="rect"/>
                  </pic:spPr>
                </pic:pic>
              </a:graphicData>
            </a:graphic>
          </wp:inline>
        </w:drawing>
      </w:r>
    </w:p>
    <w:p>
      <w:pPr>
        <w:spacing w:after="160"/>
        <w:jc w:val="center"/>
      </w:pPr>
      <w:r>
        <w:rPr>
          <w:i/>
          <w:color w:val="637080"/>
          <w:sz w:val="17"/>
        </w:rPr>
        <w:t>Figure 10.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94F73"/>
        </w:rPr>
        <w:t xml:space="preserve">1. Confirm identity. </w:t>
      </w:r>
      <w:r>
        <w:t>Verify handler, dog call name, SDDA registration number/card, and any pending correction.</w:t>
      </w:r>
    </w:p>
    <w:p>
      <w:pPr>
        <w:ind w:left="72" w:hanging="72"/>
      </w:pPr>
      <w:r>
        <w:rPr>
          <w:b/>
          <w:color w:val="294F73"/>
        </w:rPr>
        <w:t xml:space="preserve">2. Confirm operational notes. </w:t>
      </w:r>
      <w:r>
        <w:t>Ask about BIS, reactive-dog handling, accommodations, withdrawals, volunteer duties, second dogs, and Team partner changes.</w:t>
      </w:r>
    </w:p>
    <w:p>
      <w:pPr>
        <w:ind w:left="72" w:hanging="72"/>
      </w:pPr>
      <w:r>
        <w:rPr>
          <w:b/>
          <w:color w:val="294F73"/>
        </w:rPr>
        <w:t xml:space="preserve">3. Confirm order. </w:t>
      </w:r>
      <w:r>
        <w:t>Tell the competitor that position may differ by component and direct them to the posted order.</w:t>
      </w:r>
    </w:p>
    <w:p>
      <w:pPr>
        <w:ind w:left="72" w:hanging="72"/>
      </w:pPr>
      <w:r>
        <w:rPr>
          <w:b/>
          <w:color w:val="294F73"/>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keepNext/>
        <w:jc w:val="center"/>
      </w:pPr>
      <w:r>
        <w:drawing>
          <wp:inline xmlns:a="http://schemas.openxmlformats.org/drawingml/2006/main" xmlns:pic="http://schemas.openxmlformats.org/drawingml/2006/picture">
            <wp:extent cx="6217920" cy="6155015"/>
            <wp:docPr id="11" name="Picture 11" descr="Audited score entry controls"/>
            <wp:cNvGraphicFramePr>
              <a:graphicFrameLocks noChangeAspect="1"/>
            </wp:cNvGraphicFramePr>
            <a:graphic>
              <a:graphicData uri="http://schemas.openxmlformats.org/drawingml/2006/picture">
                <pic:pic>
                  <pic:nvPicPr>
                    <pic:cNvPr id="0" name="16-score-entry.png"/>
                    <pic:cNvPicPr/>
                  </pic:nvPicPr>
                  <pic:blipFill>
                    <a:blip r:embed="rId2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11. Audited Score Entry. Filter cards, use Save and next while working, and use the sticky Save all changes button before taking a break.</w:t>
      </w:r>
    </w:p>
    <w:p>
      <w:pPr>
        <w:pStyle w:val="Heading2"/>
      </w:pPr>
      <w:r>
        <w:t>9.1 Scent scoring</w:t>
      </w:r>
    </w:p>
    <w:p>
      <w:pPr>
        <w:ind w:left="72" w:hanging="72"/>
      </w:pPr>
      <w:r>
        <w:rPr>
          <w:b/>
          <w:color w:val="294F73"/>
        </w:rPr>
        <w:t xml:space="preserve">1. Open Score entry. </w:t>
      </w:r>
      <w:r>
        <w:t>Only accepted runs appear.</w:t>
      </w:r>
    </w:p>
    <w:p>
      <w:pPr>
        <w:ind w:left="72" w:hanging="72"/>
      </w:pPr>
      <w:r>
        <w:rPr>
          <w:b/>
          <w:color w:val="294F73"/>
        </w:rPr>
        <w:t xml:space="preserve">2. Select the exact run. </w:t>
      </w:r>
      <w:r>
        <w:t>Match day, level, component, stream, dog, and handler to the signed sheet.</w:t>
      </w:r>
    </w:p>
    <w:p>
      <w:pPr>
        <w:ind w:left="72" w:hanging="72"/>
      </w:pPr>
      <w:r>
        <w:rPr>
          <w:b/>
          <w:color w:val="294F73"/>
        </w:rPr>
        <w:t xml:space="preserve">3. Enter result. </w:t>
      </w:r>
      <w:r>
        <w:t>Choose Qualifying, Non-qualifying, Absent, Withdrawn, or Excused as appropriate.</w:t>
      </w:r>
    </w:p>
    <w:p>
      <w:pPr>
        <w:ind w:left="72" w:hanging="72"/>
      </w:pPr>
      <w:r>
        <w:rPr>
          <w:b/>
          <w:color w:val="294F73"/>
        </w:rPr>
        <w:t xml:space="preserve">4. Enter score and time. </w:t>
      </w:r>
      <w:r>
        <w:t>For Qualifying/NQ results, transcribe the signed totals and time. Started components total 30/40/30; Advanced, Excellent, and Elite total 60/80/60.</w:t>
      </w:r>
    </w:p>
    <w:p>
      <w:pPr>
        <w:ind w:left="72" w:hanging="72"/>
      </w:pPr>
      <w:r>
        <w:rPr>
          <w:b/>
          <w:color w:val="294F73"/>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keepNext/>
        <w:jc w:val="center"/>
      </w:pPr>
      <w:r>
        <w:drawing>
          <wp:inline xmlns:a="http://schemas.openxmlformats.org/drawingml/2006/main" xmlns:pic="http://schemas.openxmlformats.org/drawingml/2006/picture">
            <wp:extent cx="6217920" cy="6155015"/>
            <wp:docPr id="12" name="Picture 12" descr="Provisional results and placements"/>
            <wp:cNvGraphicFramePr>
              <a:graphicFrameLocks noChangeAspect="1"/>
            </wp:cNvGraphicFramePr>
            <a:graphic>
              <a:graphicData uri="http://schemas.openxmlformats.org/drawingml/2006/picture">
                <pic:pic>
                  <pic:nvPicPr>
                    <pic:cNvPr id="0" name="17-results.png"/>
                    <pic:cNvPicPr/>
                  </pic:nvPicPr>
                  <pic:blipFill>
                    <a:blip r:embed="rId22"/>
                    <a:stretch>
                      <a:fillRect/>
                    </a:stretch>
                  </pic:blipFill>
                  <pic:spPr>
                    <a:xfrm>
                      <a:off x="0" y="0"/>
                      <a:ext cx="6217920" cy="6155015"/>
                    </a:xfrm>
                    <a:prstGeom prst="rect"/>
                  </pic:spPr>
                </pic:pic>
              </a:graphicData>
            </a:graphic>
          </wp:inline>
        </w:drawing>
      </w:r>
    </w:p>
    <w:p>
      <w:pPr>
        <w:spacing w:after="160"/>
        <w:jc w:val="center"/>
      </w:pPr>
      <w:r>
        <w:rPr>
          <w:i/>
          <w:color w:val="637080"/>
          <w:sz w:val="17"/>
        </w:rPr>
        <w:t>Figure 12. Results and placements. TrialDesk calculates provisional placements from recorded qualifying results and excludes FEO from placements.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94F73"/>
        </w:rPr>
        <w:t xml:space="preserve">1. Check completion badge. </w:t>
      </w:r>
      <w:r>
        <w:t>Resolve missing scores before treating placements as final.</w:t>
      </w:r>
    </w:p>
    <w:p>
      <w:pPr>
        <w:ind w:left="72" w:hanging="72"/>
      </w:pPr>
      <w:r>
        <w:rPr>
          <w:b/>
          <w:color w:val="294F73"/>
        </w:rPr>
        <w:t xml:space="preserve">2. Compare with signed sheets. </w:t>
      </w:r>
      <w:r>
        <w:t>Spot-check leaders, ties, NQs/fails, absences, withdrawals, and FEO exclusions.</w:t>
      </w:r>
    </w:p>
    <w:p>
      <w:pPr>
        <w:ind w:left="72" w:hanging="72"/>
      </w:pPr>
      <w:r>
        <w:rPr>
          <w:b/>
          <w:color w:val="294F73"/>
        </w:rPr>
        <w:t xml:space="preserve">3. Print / Save PDF. </w:t>
      </w:r>
      <w:r>
        <w:t>Use the results page print control for posting or presentation.</w:t>
      </w:r>
    </w:p>
    <w:p>
      <w:pPr>
        <w:pStyle w:val="Heading2"/>
      </w:pPr>
      <w:r>
        <w:t>10.2 Title Watch</w:t>
      </w:r>
    </w:p>
    <w:p>
      <w:pPr>
        <w:keepNext/>
        <w:jc w:val="center"/>
      </w:pPr>
      <w:r>
        <w:drawing>
          <wp:inline xmlns:a="http://schemas.openxmlformats.org/drawingml/2006/main" xmlns:pic="http://schemas.openxmlformats.org/drawingml/2006/picture">
            <wp:extent cx="4114800" cy="4073172"/>
            <wp:docPr id="13" name="Picture 13" descr="Close to Titles and ribbon planning"/>
            <wp:cNvGraphicFramePr>
              <a:graphicFrameLocks noChangeAspect="1"/>
            </wp:cNvGraphicFramePr>
            <a:graphic>
              <a:graphicData uri="http://schemas.openxmlformats.org/drawingml/2006/picture">
                <pic:pic>
                  <pic:nvPicPr>
                    <pic:cNvPr id="0" name="18-title-ribbons.png"/>
                    <pic:cNvPicPr/>
                  </pic:nvPicPr>
                  <pic:blipFill>
                    <a:blip r:embed="rId23"/>
                    <a:stretch>
                      <a:fillRect/>
                    </a:stretch>
                  </pic:blipFill>
                  <pic:spPr>
                    <a:xfrm>
                      <a:off x="0" y="0"/>
                      <a:ext cx="4114800" cy="4073172"/>
                    </a:xfrm>
                    <a:prstGeom prst="rect"/>
                  </pic:spPr>
                </pic:pic>
              </a:graphicData>
            </a:graphic>
          </wp:inline>
        </w:drawing>
      </w:r>
    </w:p>
    <w:p>
      <w:pPr>
        <w:spacing w:after="160"/>
        <w:jc w:val="center"/>
      </w:pPr>
      <w:r>
        <w:rPr>
          <w:i/>
          <w:color w:val="637080"/>
          <w:sz w:val="17"/>
        </w:rPr>
        <w:t>Figure 13. Close to Titles and Ribbon Planning. The top summary gives the maximum possible ribbon count, with Working reviews and title details below.</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Financial Summary: start here</w:t>
      </w:r>
    </w:p>
    <w:p>
      <w:r>
        <w:t>Open the trial, then Financial Summary in the left menu. Amounts are Canadian dollars. Accepted entries generate charges automatically from Scent and Games pricing; do not enter the same fees again as a manual charge.</w:t>
      </w:r>
    </w:p>
    <w:p>
      <w:pPr>
        <w:keepNext/>
        <w:jc w:val="center"/>
      </w:pPr>
      <w:r>
        <w:drawing>
          <wp:inline xmlns:a="http://schemas.openxmlformats.org/drawingml/2006/main" xmlns:pic="http://schemas.openxmlformats.org/drawingml/2006/picture">
            <wp:extent cx="5760720" cy="4927332"/>
            <wp:docPr id="14" name="Picture 14" descr="Financial summary and judge estimates"/>
            <wp:cNvGraphicFramePr>
              <a:graphicFrameLocks noChangeAspect="1"/>
            </wp:cNvGraphicFramePr>
            <a:graphic>
              <a:graphicData uri="http://schemas.openxmlformats.org/drawingml/2006/picture">
                <pic:pic>
                  <pic:nvPicPr>
                    <pic:cNvPr id="0" name="06-finances-overview.png"/>
                    <pic:cNvPicPr/>
                  </pic:nvPicPr>
                  <pic:blipFill>
                    <a:blip r:embed="rId24"/>
                    <a:stretch>
                      <a:fillRect/>
                    </a:stretch>
                  </pic:blipFill>
                  <pic:spPr>
                    <a:xfrm>
                      <a:off x="0" y="0"/>
                      <a:ext cx="5760720" cy="4927332"/>
                    </a:xfrm>
                    <a:prstGeom prst="rect"/>
                  </pic:spPr>
                </pic:pic>
              </a:graphicData>
            </a:graphic>
          </wp:inline>
        </w:drawing>
      </w:r>
    </w:p>
    <w:p>
      <w:pPr>
        <w:spacing w:after="160"/>
        <w:jc w:val="center"/>
      </w:pPr>
      <w:r>
        <w:rPr>
          <w:i/>
          <w:color w:val="637080"/>
          <w:sz w:val="17"/>
        </w:rPr>
        <w:t>Figure 14. Live Example Trial financial summary, September 2, 2026. Figures demonstrate the screen layout, not recommended entry prices. Judge and SDDA estimates are separate from actual expenses.</w:t>
      </w:r>
    </w:p>
    <w:p>
      <w:r>
        <w:t>Gross charges include adjustments. Fees waived are not money collected. Collected is payments minus refunds; Outstanding and Credits show handler balances. Cash net subtracts actual expenses from net collections, without deducting the displayed estimates again.</w:t>
      </w:r>
    </w:p>
    <w:p>
      <w:r>
        <w:br w:type="page"/>
      </w:r>
    </w:p>
    <w:p>
      <w:pPr>
        <w:pStyle w:val="Heading2"/>
      </w:pPr>
      <w:r>
        <w:t>11.1a Record a handler payment</w:t>
      </w:r>
    </w:p>
    <w:p>
      <w:pPr>
        <w:ind w:left="72" w:hanging="72"/>
      </w:pPr>
      <w:r>
        <w:rPr>
          <w:b/>
          <w:color w:val="294F73"/>
        </w:rPr>
        <w:t xml:space="preserve">1. Find the handler. </w:t>
      </w:r>
      <w:r>
        <w:t>Scroll to Handler accounts - payments and waivers. Search by handler or dog; use Owing, Credit, Settled, or All balances as needed.</w:t>
      </w:r>
    </w:p>
    <w:p>
      <w:pPr>
        <w:ind w:left="72" w:hanging="72"/>
      </w:pPr>
      <w:r>
        <w:rPr>
          <w:b/>
          <w:color w:val="294F73"/>
        </w:rPr>
        <w:t xml:space="preserve">2. Review the dogs. </w:t>
      </w:r>
      <w:r>
        <w:t>Matching handler name and email group dogs together. Entries without email remain separate. Check the dogs' charges and balances before recording money.</w:t>
      </w:r>
    </w:p>
    <w:p>
      <w:pPr>
        <w:ind w:left="72" w:hanging="72"/>
      </w:pPr>
      <w:r>
        <w:rPr>
          <w:b/>
          <w:color w:val="294F73"/>
        </w:rPr>
        <w:t xml:space="preserve">3. Select Record payment. </w:t>
      </w:r>
      <w:r>
        <w:t>For multiple dogs, keep All dogs - allocate payment, or choose one dog. The amount starts with the current balance; replace it with the amount actually received.</w:t>
      </w:r>
    </w:p>
    <w:p>
      <w:pPr>
        <w:keepNext/>
        <w:jc w:val="center"/>
      </w:pPr>
      <w:r>
        <w:drawing>
          <wp:inline xmlns:a="http://schemas.openxmlformats.org/drawingml/2006/main" xmlns:pic="http://schemas.openxmlformats.org/drawingml/2006/picture">
            <wp:extent cx="5669280" cy="3555311"/>
            <wp:docPr id="15" name="Picture 15" descr="Record a handler payment"/>
            <wp:cNvGraphicFramePr>
              <a:graphicFrameLocks noChangeAspect="1"/>
            </wp:cNvGraphicFramePr>
            <a:graphic>
              <a:graphicData uri="http://schemas.openxmlformats.org/drawingml/2006/picture">
                <pic:pic>
                  <pic:nvPicPr>
                    <pic:cNvPr id="0" name="07-record-payment.png"/>
                    <pic:cNvPicPr/>
                  </pic:nvPicPr>
                  <pic:blipFill>
                    <a:blip r:embed="rId25"/>
                    <a:stretch>
                      <a:fillRect/>
                    </a:stretch>
                  </pic:blipFill>
                  <pic:spPr>
                    <a:xfrm>
                      <a:off x="0" y="0"/>
                      <a:ext cx="5669280" cy="3555311"/>
                    </a:xfrm>
                    <a:prstGeom prst="rect"/>
                  </pic:spPr>
                </pic:pic>
              </a:graphicData>
            </a:graphic>
          </wp:inline>
        </w:drawing>
      </w:r>
    </w:p>
    <w:p>
      <w:pPr>
        <w:spacing w:after="160"/>
        <w:jc w:val="center"/>
      </w:pPr>
      <w:r>
        <w:rPr>
          <w:i/>
          <w:color w:val="637080"/>
          <w:sz w:val="17"/>
        </w:rPr>
        <w:t>Figure 15. Payment received dialog. This unsaved example starts at $200.00 for two dogs. No money is processed by this form; it records money already received.</w:t>
      </w:r>
    </w:p>
    <w:p>
      <w:pPr>
        <w:ind w:left="72" w:hanging="72"/>
      </w:pPr>
      <w:r>
        <w:rPr>
          <w:b/>
          <w:color w:val="294F73"/>
        </w:rPr>
        <w:t xml:space="preserve">4. Enter payment details and Save. </w:t>
      </w:r>
      <w:r>
        <w:t>Confirm date, payment method, reference, and notes. Save once, wait for the dialog to close, and check the updated net paid and balance.</w:t>
      </w:r>
    </w:p>
    <w:p>
      <w:pPr>
        <w:ind w:left="72" w:hanging="72"/>
      </w:pPr>
      <w:r>
        <w:rPr>
          <w:b/>
          <w:color w:val="294F73"/>
        </w:rPr>
        <w:t xml:space="preserve">5. Check partial or excess payments. </w:t>
      </w:r>
      <w:r>
        <w:t>A partial payment leaves an outstanding balance. An all-dogs payment fills positive dog balances in order; excess remains as credit on the last dog. Inspect each dog when another dog already has credit.</w:t>
      </w:r>
    </w:p>
    <w:p>
      <w:r>
        <w:br w:type="page"/>
      </w:r>
    </w:p>
    <w:p>
      <w:pPr>
        <w:pStyle w:val="Heading2"/>
      </w:pPr>
      <w:r>
        <w:t>11.1b Waivers, restoration, refunds, and corrections</w:t>
      </w:r>
    </w:p>
    <w:p>
      <w:pPr>
        <w:ind w:left="72" w:hanging="72"/>
      </w:pPr>
      <w:r>
        <w:rPr>
          <w:b/>
          <w:color w:val="294F73"/>
        </w:rPr>
        <w:t xml:space="preserve">1. Waive an unpaid fee. </w:t>
      </w:r>
      <w:r>
        <w:t>On the specific dog's row, choose Waive fees. Enter all or part of the current outstanding balance and explain why in Notes. Save and check Fees waived and the balance; collected money does not increase.</w:t>
      </w:r>
    </w:p>
    <w:p>
      <w:pPr>
        <w:keepNext/>
        <w:jc w:val="center"/>
      </w:pPr>
      <w:r>
        <w:drawing>
          <wp:inline xmlns:a="http://schemas.openxmlformats.org/drawingml/2006/main" xmlns:pic="http://schemas.openxmlformats.org/drawingml/2006/picture">
            <wp:extent cx="5486400" cy="3841195"/>
            <wp:docPr id="16" name="Picture 16" descr="Waive a dog's outstanding fees"/>
            <wp:cNvGraphicFramePr>
              <a:graphicFrameLocks noChangeAspect="1"/>
            </wp:cNvGraphicFramePr>
            <a:graphic>
              <a:graphicData uri="http://schemas.openxmlformats.org/drawingml/2006/picture">
                <pic:pic>
                  <pic:nvPicPr>
                    <pic:cNvPr id="0" name="08-waive-fees.png"/>
                    <pic:cNvPicPr/>
                  </pic:nvPicPr>
                  <pic:blipFill>
                    <a:blip r:embed="rId26"/>
                    <a:stretch>
                      <a:fillRect/>
                    </a:stretch>
                  </pic:blipFill>
                  <pic:spPr>
                    <a:xfrm>
                      <a:off x="0" y="0"/>
                      <a:ext cx="5486400" cy="3841195"/>
                    </a:xfrm>
                    <a:prstGeom prst="rect"/>
                  </pic:spPr>
                </pic:pic>
              </a:graphicData>
            </a:graphic>
          </wp:inline>
        </w:drawing>
      </w:r>
    </w:p>
    <w:p>
      <w:pPr>
        <w:spacing w:after="160"/>
        <w:jc w:val="center"/>
      </w:pPr>
      <w:r>
        <w:rPr>
          <w:i/>
          <w:color w:val="637080"/>
          <w:sz w:val="17"/>
        </w:rPr>
        <w:t>Figure 16. Fees waived dialog. The reason is required; a waiver cannot exceed this dog's outstanding balance. The example was opened and cancelled without saving.</w:t>
      </w:r>
    </w:p>
    <w:p>
      <w:pPr>
        <w:ind w:left="72" w:hanging="72"/>
      </w:pPr>
      <w:r>
        <w:rPr>
          <w:b/>
          <w:color w:val="294F73"/>
        </w:rPr>
        <w:t xml:space="preserve">2. Restore a waiver. </w:t>
      </w:r>
      <w:r>
        <w:t>Locate the waiver in Ledger - transaction history and choose Restore fees. Add a reason and save. It restores the original amount once and retains both records; waivers cannot be edited or deleted.</w:t>
      </w:r>
    </w:p>
    <w:p>
      <w:pPr>
        <w:ind w:left="72" w:hanging="72"/>
      </w:pPr>
      <w:r>
        <w:rPr>
          <w:b/>
          <w:color w:val="294F73"/>
        </w:rPr>
        <w:t xml:space="preserve">3. Record money returned. </w:t>
      </w:r>
      <w:r>
        <w:t>Choose Refund for that dog, enter the amount, date, method, reference and reason, then Save. Refund is unavailable when no net payment exists, and cannot exceed that dog's net payments.</w:t>
      </w:r>
    </w:p>
    <w:p>
      <w:r>
        <w:t>A refund returns recorded money but does not cancel the entry charge. If the fee should no longer be owed, separately correct the entry or use an appropriate waiver/credit adjustment. A waiver is a fixed amount, not free future entries: recheck balances after adding runs or changing prices.</w:t>
      </w:r>
    </w:p>
    <w:p>
      <w:r>
        <w:t>Use Adjust for an explained additional charge (positive) or credit (negative). In the ledger, use Edit to correct an existing transaction; it cannot switch dogs or transaction type. Use Delete only for a genuinely mistaken ordinary record. Corrections remain audited; do not clear the activity journal to fix money records.</w:t>
      </w:r>
    </w:p>
    <w:p>
      <w:r>
        <w:br w:type="page"/>
      </w:r>
    </w:p>
    <w:p>
      <w:pPr>
        <w:pStyle w:val="Heading2"/>
      </w:pPr>
      <w:r>
        <w:t>11.1c Expenses and financial statements</w:t>
      </w:r>
    </w:p>
    <w:p>
      <w:pPr>
        <w:ind w:left="72" w:hanging="72"/>
      </w:pPr>
      <w:r>
        <w:rPr>
          <w:b/>
          <w:color w:val="294F73"/>
        </w:rPr>
        <w:t xml:space="preserve">1. Select Add expense. </w:t>
      </w:r>
      <w:r>
        <w:t>Choose Trial expense, Judge expense, Volunteer expense, or SDDA remittance paid. Enter the actual amount, date, method, reference, payee, and a useful description; then Save.</w:t>
      </w:r>
    </w:p>
    <w:p>
      <w:pPr>
        <w:keepNext/>
        <w:jc w:val="center"/>
      </w:pPr>
      <w:r>
        <w:drawing>
          <wp:inline xmlns:a="http://schemas.openxmlformats.org/drawingml/2006/main" xmlns:pic="http://schemas.openxmlformats.org/drawingml/2006/picture">
            <wp:extent cx="5486400" cy="3440624"/>
            <wp:docPr id="17" name="Picture 17" descr="Record an operating expense"/>
            <wp:cNvGraphicFramePr>
              <a:graphicFrameLocks noChangeAspect="1"/>
            </wp:cNvGraphicFramePr>
            <a:graphic>
              <a:graphicData uri="http://schemas.openxmlformats.org/drawingml/2006/picture">
                <pic:pic>
                  <pic:nvPicPr>
                    <pic:cNvPr id="0" name="09-add-expense.png"/>
                    <pic:cNvPicPr/>
                  </pic:nvPicPr>
                  <pic:blipFill>
                    <a:blip r:embed="rId27"/>
                    <a:stretch>
                      <a:fillRect/>
                    </a:stretch>
                  </pic:blipFill>
                  <pic:spPr>
                    <a:xfrm>
                      <a:off x="0" y="0"/>
                      <a:ext cx="5486400" cy="3440624"/>
                    </a:xfrm>
                    <a:prstGeom prst="rect"/>
                  </pic:spPr>
                </pic:pic>
              </a:graphicData>
            </a:graphic>
          </wp:inline>
        </w:drawing>
      </w:r>
    </w:p>
    <w:p>
      <w:pPr>
        <w:spacing w:after="160"/>
        <w:jc w:val="center"/>
      </w:pPr>
      <w:r>
        <w:rPr>
          <w:i/>
          <w:color w:val="637080"/>
          <w:sz w:val="17"/>
        </w:rPr>
        <w:t>Figure 17. Add expense dialog, opened without saving. Record an actual cost once; an estimate is not a payment.</w:t>
      </w:r>
    </w:p>
    <w:p>
      <w:pPr>
        <w:ind w:left="72" w:hanging="72"/>
      </w:pPr>
      <w:r>
        <w:rPr>
          <w:b/>
          <w:color w:val="294F73"/>
        </w:rPr>
        <w:t xml:space="preserve">2. Reconcile the ledger. </w:t>
      </w:r>
      <w:r>
        <w:t>Compare receipts, cash and transfers with recorded payments, refunds and expenses. Review each handler's Payment and waiver history. Judge estimates do not include all travel, meals or accommodation costs.</w:t>
      </w:r>
    </w:p>
    <w:p>
      <w:pPr>
        <w:ind w:left="72" w:hanging="72"/>
      </w:pPr>
      <w:r>
        <w:rPr>
          <w:b/>
          <w:color w:val="294F73"/>
        </w:rPr>
        <w:t xml:space="preserve">3. Export Excel. </w:t>
      </w:r>
      <w:r>
        <w:t>The sticky header exports Entry balances, Ledger, Summary, and Judge estimates worksheets. Entry balances contains numeric amounts and a balance formula; retain the file with the trial records.</w:t>
      </w:r>
    </w:p>
    <w:p>
      <w:pPr>
        <w:ind w:left="72" w:hanging="72"/>
      </w:pPr>
      <w:r>
        <w:rPr>
          <w:b/>
          <w:color w:val="294F73"/>
        </w:rPr>
        <w:t xml:space="preserve">4. Print statement. </w:t>
      </w:r>
      <w:r>
        <w:t>Use Print statement in a browser that supports printing and inspect print preview before printing or saving as PDF. Clear account search/filter controls first for a complete on-screen account list.</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PRESERVE THE RECORD: </w:t>
            </w:r>
            <w:r>
              <w:t>Back up the trial before major corrections. Use Activity Journal to review who recorded or changed information. Completed trials must be reopened before financial changes; repeat statements and backups after corrections.</w:t>
            </w:r>
          </w:p>
        </w:tc>
      </w:tr>
    </w:tbl>
    <w:p>
      <w:pPr>
        <w:spacing w:after="0"/>
      </w:pPr>
    </w:p>
    <w:p>
      <w:r>
        <w:br w:type="page"/>
      </w:r>
    </w:p>
    <w:p>
      <w:pPr>
        <w:pStyle w:val="Heading2"/>
      </w:pPr>
      <w:r>
        <w:t>11.2 Official SDDA workbook</w:t>
      </w:r>
    </w:p>
    <w:p>
      <w:pPr>
        <w:keepNext/>
        <w:jc w:val="center"/>
      </w:pPr>
      <w:r>
        <w:drawing>
          <wp:inline xmlns:a="http://schemas.openxmlformats.org/drawingml/2006/main" xmlns:pic="http://schemas.openxmlformats.org/drawingml/2006/picture">
            <wp:extent cx="6217920" cy="6155015"/>
            <wp:docPr id="18" name="Picture 18" descr="Official SDDA workbook export page"/>
            <wp:cNvGraphicFramePr>
              <a:graphicFrameLocks noChangeAspect="1"/>
            </wp:cNvGraphicFramePr>
            <a:graphic>
              <a:graphicData uri="http://schemas.openxmlformats.org/drawingml/2006/picture">
                <pic:pic>
                  <pic:nvPicPr>
                    <pic:cNvPr id="0" name="19-official-workbook.png"/>
                    <pic:cNvPicPr/>
                  </pic:nvPicPr>
                  <pic:blipFill>
                    <a:blip r:embed="rId28"/>
                    <a:stretch>
                      <a:fillRect/>
                    </a:stretch>
                  </pic:blipFill>
                  <pic:spPr>
                    <a:xfrm>
                      <a:off x="0" y="0"/>
                      <a:ext cx="6217920" cy="6155015"/>
                    </a:xfrm>
                    <a:prstGeom prst="rect"/>
                  </pic:spPr>
                </pic:pic>
              </a:graphicData>
            </a:graphic>
          </wp:inline>
        </w:drawing>
      </w:r>
    </w:p>
    <w:p>
      <w:pPr>
        <w:spacing w:after="160"/>
        <w:jc w:val="center"/>
      </w:pPr>
      <w:r>
        <w:rPr>
          <w:i/>
          <w:color w:val="637080"/>
          <w:sz w:val="17"/>
        </w:rPr>
        <w:t>Figure 18. Official Workbook. Export is enabled only when required trial identity and score checks pass; open the result in Excel to recalculate the official formulas.</w:t>
      </w:r>
    </w:p>
    <w:p>
      <w:pPr>
        <w:ind w:left="72" w:hanging="72"/>
      </w:pPr>
      <w:r>
        <w:rPr>
          <w:b/>
          <w:color w:val="294F73"/>
        </w:rPr>
        <w:t xml:space="preserve">1. Finish accepted-entry scoring. </w:t>
      </w:r>
      <w:r>
        <w:t>Resolve registration numbers, trial numbers, judges, results, scores, and times.</w:t>
      </w:r>
    </w:p>
    <w:p>
      <w:pPr>
        <w:ind w:left="72" w:hanging="72"/>
      </w:pPr>
      <w:r>
        <w:rPr>
          <w:b/>
          <w:color w:val="294F73"/>
        </w:rPr>
        <w:t xml:space="preserve">2. Open Official workbook. </w:t>
      </w:r>
      <w:r>
        <w:t>Read blockers and warnings. Correct source data rather than editing around a blocker.</w:t>
      </w:r>
    </w:p>
    <w:p>
      <w:pPr>
        <w:ind w:left="72" w:hanging="72"/>
      </w:pPr>
      <w:r>
        <w:rPr>
          <w:b/>
          <w:color w:val="294F73"/>
        </w:rPr>
        <w:t xml:space="preserve">3. Export each day group. </w:t>
      </w:r>
      <w:r>
        <w:t>The official workbook has two day sections. TrialDesk groups a 3–4 day event into separate one/two-day workbook exports.</w:t>
      </w:r>
    </w:p>
    <w:p>
      <w:pPr>
        <w:ind w:left="72" w:hanging="72"/>
      </w:pPr>
      <w:r>
        <w:rPr>
          <w:b/>
          <w:color w:val="294F73"/>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94F73"/>
        </w:rPr>
        <w:t xml:space="preserve">5. Submit outside TrialDesk. </w:t>
      </w:r>
      <w:r>
        <w:t>TrialDesk downloads a completed copy; it does not upload directly to SDDA. Follow SDDA’s current submission/email instructions.</w:t>
      </w:r>
    </w:p>
    <w:p>
      <w:pPr>
        <w:pStyle w:val="Heading2"/>
      </w:pPr>
      <w:r>
        <w:t>11.3 Backup and closeout</w:t>
      </w:r>
    </w:p>
    <w:p>
      <w:pPr>
        <w:keepNext/>
        <w:jc w:val="center"/>
      </w:pPr>
      <w:r>
        <w:drawing>
          <wp:inline xmlns:a="http://schemas.openxmlformats.org/drawingml/2006/main" xmlns:pic="http://schemas.openxmlformats.org/drawingml/2006/picture">
            <wp:extent cx="6217920" cy="6155015"/>
            <wp:docPr id="19" name="Picture 19" descr="Trial closeout checklist"/>
            <wp:cNvGraphicFramePr>
              <a:graphicFrameLocks noChangeAspect="1"/>
            </wp:cNvGraphicFramePr>
            <a:graphic>
              <a:graphicData uri="http://schemas.openxmlformats.org/drawingml/2006/picture">
                <pic:pic>
                  <pic:nvPicPr>
                    <pic:cNvPr id="0" name="21-trial-closeout.png"/>
                    <pic:cNvPicPr/>
                  </pic:nvPicPr>
                  <pic:blipFill>
                    <a:blip r:embed="rId29"/>
                    <a:stretch>
                      <a:fillRect/>
                    </a:stretch>
                  </pic:blipFill>
                  <pic:spPr>
                    <a:xfrm>
                      <a:off x="0" y="0"/>
                      <a:ext cx="6217920" cy="6155015"/>
                    </a:xfrm>
                    <a:prstGeom prst="rect"/>
                  </pic:spPr>
                </pic:pic>
              </a:graphicData>
            </a:graphic>
          </wp:inline>
        </w:drawing>
      </w:r>
    </w:p>
    <w:p>
      <w:pPr>
        <w:spacing w:after="160"/>
        <w:jc w:val="center"/>
      </w:pPr>
      <w:r>
        <w:rPr>
          <w:i/>
          <w:color w:val="637080"/>
          <w:sz w:val="17"/>
        </w:rPr>
        <w:t>Figure 19. Trial Closeout. Resolve required items, review final exports, download the JSON backup, and only then complete and lock the trial.</w:t>
      </w:r>
    </w:p>
    <w:p>
      <w:pPr>
        <w:ind w:left="72" w:hanging="72"/>
      </w:pPr>
      <w:r>
        <w:rPr>
          <w:b/>
          <w:color w:val="294F73"/>
        </w:rPr>
        <w:t xml:space="preserve">1. Open Trial closeout. </w:t>
      </w:r>
      <w:r>
        <w:t>Resolve red blockers and review amber warnings.</w:t>
      </w:r>
    </w:p>
    <w:p>
      <w:pPr>
        <w:ind w:left="72" w:hanging="72"/>
      </w:pPr>
      <w:r>
        <w:rPr>
          <w:b/>
          <w:color w:val="294F73"/>
        </w:rPr>
        <w:t xml:space="preserve">2. Download complete trial backup. </w:t>
      </w:r>
      <w:r>
        <w:t>Store the JSON backup with the final workbook, results, running order, financial statement, and retained score-sheet records.</w:t>
      </w:r>
    </w:p>
    <w:p>
      <w:pPr>
        <w:ind w:left="72" w:hanging="72"/>
      </w:pPr>
      <w:r>
        <w:rPr>
          <w:b/>
          <w:color w:val="294F73"/>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ARCHIVE: </w:t>
            </w:r>
            <w:r>
              <w:t>Keep a durable copy outside the browser. A downloaded backup is only useful if it is stored in a known, backed-up location and can be associated with the correct trial number/date.</w:t>
            </w:r>
          </w:p>
        </w:tc>
      </w:tr>
    </w:tbl>
    <w:p>
      <w:pPr>
        <w:spacing w:after="0"/>
      </w:pPr>
    </w:p>
    <w:p>
      <w:pPr>
        <w:pStyle w:val="Heading2"/>
      </w:pPr>
      <w:r>
        <w:t>11.4 Activity Journal</w:t>
      </w:r>
    </w:p>
    <w:p>
      <w:pPr>
        <w:keepNext/>
        <w:jc w:val="center"/>
      </w:pPr>
      <w:r>
        <w:drawing>
          <wp:inline xmlns:a="http://schemas.openxmlformats.org/drawingml/2006/main" xmlns:pic="http://schemas.openxmlformats.org/drawingml/2006/picture">
            <wp:extent cx="5120640" cy="5068836"/>
            <wp:docPr id="20" name="Picture 20" descr="Activity Journal"/>
            <wp:cNvGraphicFramePr>
              <a:graphicFrameLocks noChangeAspect="1"/>
            </wp:cNvGraphicFramePr>
            <a:graphic>
              <a:graphicData uri="http://schemas.openxmlformats.org/drawingml/2006/picture">
                <pic:pic>
                  <pic:nvPicPr>
                    <pic:cNvPr id="0" name="20-activity-journal.png"/>
                    <pic:cNvPicPr/>
                  </pic:nvPicPr>
                  <pic:blipFill>
                    <a:blip r:embed="rId30"/>
                    <a:stretch>
                      <a:fillRect/>
                    </a:stretch>
                  </pic:blipFill>
                  <pic:spPr>
                    <a:xfrm>
                      <a:off x="0" y="0"/>
                      <a:ext cx="5120640" cy="5068836"/>
                    </a:xfrm>
                    <a:prstGeom prst="rect"/>
                  </pic:spPr>
                </pic:pic>
              </a:graphicData>
            </a:graphic>
          </wp:inline>
        </w:drawing>
      </w:r>
    </w:p>
    <w:p>
      <w:pPr>
        <w:spacing w:after="160"/>
        <w:jc w:val="center"/>
      </w:pPr>
      <w:r>
        <w:rPr>
          <w:i/>
          <w:color w:val="637080"/>
          <w:sz w:val="17"/>
        </w:rPr>
        <w:t>Figure 20. Activity Journal. Search or filter the permanent secretary-facing history and print it for the closeout package.</w:t>
      </w:r>
    </w:p>
    <w:p>
      <w:r>
        <w:t>The journal groups trial setup, pricing, offering changes, CSV import batches, entry changes, payments, waivers, score corrections, and completion. It identifies who performed the action and shows the meaningful change without unnecessary database fields.</w:t>
      </w:r>
    </w:p>
    <w:p>
      <w:pPr>
        <w:ind w:left="72" w:hanging="72"/>
      </w:pPr>
      <w:r>
        <w:rPr>
          <w:b/>
          <w:color w:val="294F73"/>
        </w:rPr>
        <w:t xml:space="preserve">1. Search or filter. </w:t>
      </w:r>
      <w:r>
        <w:t>Use the search box for an action, person, dog, or record and the record-type list to narrow the journal.</w:t>
      </w:r>
    </w:p>
    <w:p>
      <w:pPr>
        <w:ind w:left="72" w:hanging="72"/>
      </w:pPr>
      <w:r>
        <w:rPr>
          <w:b/>
          <w:color w:val="294F73"/>
        </w:rPr>
        <w:t xml:space="preserve">2. Review material changes. </w:t>
      </w:r>
      <w:r>
        <w:t>Confirm imports are grouped as batches and corrections name the affected entry, score, payment, or trial setting.</w:t>
      </w:r>
    </w:p>
    <w:p>
      <w:pPr>
        <w:ind w:left="72" w:hanging="72"/>
      </w:pPr>
      <w:r>
        <w:rPr>
          <w:b/>
          <w:color w:val="294F73"/>
        </w:rPr>
        <w:t xml:space="preserve">3. Print journal. </w:t>
      </w:r>
      <w:r>
        <w:t>Save a PDF or printed copy with the final trial records before locking the trial.</w:t>
      </w: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94F73"/>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94F73"/>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the signed-in profile has access to the trial and that the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r>
        <w:br w:type="page"/>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13. Page and button glossary</w:t>
      </w:r>
    </w:p>
    <w:p>
      <w:r>
        <w:t>Use this section as a quick lookup when you know the control name but not where it is located. Controls that change data are disabled when prerequisites are incomplete or the trial is completed and locked.</w:t>
      </w:r>
    </w:p>
    <w:p>
      <w:pPr>
        <w:pStyle w:val="Heading2"/>
      </w:pPr>
      <w:r>
        <w:t>13.1 Dashboard and trial setup</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trial / Create New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SDDA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 workspace.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identity, format, and guarded trial-day editing for the selected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 or 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Starts a clean draft using reusable setup from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Delete draft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Draft trial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Permanently removes an unused draft after confirmation; unavailable after operational use.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setup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Trial Details for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 trials / View all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complete trial list.</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Built-in entry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trial's competitor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Google Form CSV / Entry roster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Entries for import 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another date, up to the application limit of four.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that date before the draft is created.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Cancel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Returns to Trials without creating a draft.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Draft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editable trial workspace; it does not open entries.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trial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the trial name, host club, venue/address, and format without changing entries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Adds another empty trial day, up to four.</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Removes only the final day and is blocked while that day has offerings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trial days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Atomically saves chronological date changes while preserving existing day assignments.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draft copy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Creates a new draft with reusable setup but no operational or financial records.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setup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Details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offering, Games, and setup changes currently pending.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public details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secretary contact, payment, and cancellation text.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Select all / Clear Scent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Selects or clears all Scent level/component offerings.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Select all / Clear Games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Selects or clears all Games offerings.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Scent pricing</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Scent entry pricing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component, package, and Elite fees.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entries and enable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Changes the trial to Entries Open and activates submissions.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Close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Stops new public submissions for the whole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or Close this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header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Allows or stops entries for only that day.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day details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day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the date, SDDA trial number, and day judge.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Offering tile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offerings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Turns that Scent component or Game on or off.</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Allow FEO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Selected offering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or removes FEO for that exact public offering.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Refresh from SDDA</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Stages and activates the newest official SDDA Dogs list; administrator only.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Search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Looks up an SDDA dog number or call name in the active registry.</w:t>
            </w:r>
          </w:p>
        </w:tc>
      </w:tr>
    </w:tbl>
    <w:p>
      <w:pPr>
        <w:pStyle w:val="Heading2"/>
      </w:pPr>
      <w:r>
        <w:t>13.2 Navigation sharing and team access</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Trial workflow stage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named stage and shows whether its prerequisite is ready.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Competitor Entry Form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public form in a separate page.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public form address to the clipboard.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Team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access management for the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to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Team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 registered user or updates an existing member's role.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Trash icon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Team member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a non-owner member after confirmation.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Close to Titles and Ribbons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Trial Details,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title opportunities, Working review, and maximum ribbon planning.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Sign In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Authenticates the secretary and opens the dashboard.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Forgot your password</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Requests a Supabase password-reset email.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Register here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account registration and email confirmation.</w:t>
            </w:r>
          </w:p>
        </w:tc>
      </w:tr>
    </w:tbl>
    <w:p>
      <w:pPr>
        <w:pStyle w:val="Heading2"/>
      </w:pPr>
      <w:r>
        <w:t>13.3 Competitor entry form</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Load my entry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public form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Loads an editable entry when registration/confirmation number and email both match.</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Check SDDA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Competitor and dog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Checks the entered dog number and call name against the active registry.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Back / Continue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form steps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between Competitor and dog, Runs, Policies, and Review without submitting.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Submit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Review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entry after required data, selections, declaration, and policies pass validation.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entry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Review step while editing</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permitted competitor or secretary corrections.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receipt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Prints the received selections, estimated amount, and return instructions.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receipt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a formatted receipt containing the active private edit link.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Returns to step one with the submitted information populated.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private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confidential edit link; share only with that competitor.</w:t>
            </w:r>
          </w:p>
        </w:tc>
      </w:tr>
    </w:tbl>
    <w:p>
      <w:pPr>
        <w:pStyle w:val="Heading2"/>
      </w:pPr>
      <w:r>
        <w:t>13.4 Entries and import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Search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Finds a handler, dog, or SDDA number.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Status filter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All, Received, Accepted, Waitlisted, Rejected, or other statuses.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mailing list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Exports email, handler, received selections, and amount owing.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Add secretary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full entry form for a signed-in secretary to transcribe a paper or day-of entry.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Import Google Form CSV</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Selects and previews a familiar Google response CSV.</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Import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CSV import review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valid entries and reports rejected rows as one audited batch.</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secretary edit form with the current entry repopulated.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Secretary decision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Changes Received to Accepted, Waitlisted, Rejected, Withdrawn, or another permitted status.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receipt/review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the entry receipt with selections, amount, and edit link.</w:t>
            </w:r>
          </w:p>
        </w:tc>
      </w:tr>
    </w:tbl>
    <w:p>
      <w:pPr>
        <w:pStyle w:val="Heading2"/>
      </w:pPr>
      <w:r>
        <w:t>13.5 Running order score sheets and scoring</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Day Level Component filters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 the exact order being reviewed.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Apply SDDA order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Officials, Regular, Second dog, FEO, and BIS grouping rules.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Run group list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Marks the run's operational group when the secretary must change it.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Move 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a component-specific approved move-up to an offered next level.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Drag handle / arrows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a run manually; re-check conflicts afterward.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Persists the displayed order and group changes.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running order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formatted multi-day running-order workbook.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complete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eligible Scent sheets as one PDF.</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day packet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one day's eligible Scent sheets.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Games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or one day's Games sheets.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Scent or Games filter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Switches scoring discipline and shows its recorded count.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day filter / Search</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Narrows cards without changing scores.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and next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that run and advances to the next displayed card.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all changes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every changed score card before a break.</w:t>
            </w:r>
          </w:p>
        </w:tc>
      </w:tr>
    </w:tbl>
    <w:p>
      <w:pPr>
        <w:pStyle w:val="Heading2"/>
      </w:pPr>
      <w:r>
        <w:t>13.6 Results titles finances and closeout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Results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provisional placements after score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Exports title opportunities, ribbon totals, and Working reviews.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the title and ribbon-planning report.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Refresh history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Refreshes official SDDA workbook history used for title proximity.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Entry Roster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entries requiring Working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statement / 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Produces the current financial statement or workbook.</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expense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an operating, judge, volunteer, or SDDA remittance expense.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Record payment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Handler account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Allocates money already received across selected dogs.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Waive fees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Waives an amount with a required reason; does not remove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Refund</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Records money returned against collected funds.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Adjust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 documented financial correction.</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Restore waiver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Payment and waiver history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Reverses a prior waiver when permitted.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Pencil / Trash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Financial ledger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Edits or deletes a ledger item with confirmation and audit history.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official workbook</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Official Workbook</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Fills a fresh official workbook after blockers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journal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Activity Journal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or saves the filtered secretary-facing audit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Results Workbook Finances Activity links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each final export for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complete trial backup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complete JSON recovery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Complete and lock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Locks operational editing after required checks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Reopen for corrections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Completed 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Reopens a completed trial and records the action.</w:t>
            </w:r>
          </w:p>
        </w:tc>
      </w:tr>
    </w:tbl>
    <w:p>
      <w:r>
        <w:br w:type="page"/>
      </w:r>
    </w:p>
    <w:p>
      <w:pPr>
        <w:pStyle w:val="Heading1"/>
      </w:pPr>
      <w:r>
        <w:t>Sources and scope notes</w:t>
      </w:r>
    </w:p>
    <w:p>
      <w:hyperlink r:id="rId31">
        <w:r>
          <w:rPr>
            <w:color w:val="294F73"/>
            <w:u w:val="single"/>
          </w:rPr>
          <w:t>SDDA Master Rule Book v5.1 (effective July 1, 2026)</w:t>
        </w:r>
      </w:hyperlink>
    </w:p>
    <w:p>
      <w:hyperlink r:id="rId32">
        <w:r>
          <w:rPr>
            <w:color w:val="294F73"/>
            <w:u w:val="single"/>
          </w:rPr>
          <w:t>SDDA Rules and Rulebook page</w:t>
        </w:r>
      </w:hyperlink>
    </w:p>
    <w:p>
      <w:hyperlink r:id="rId33">
        <w:r>
          <w:rPr>
            <w:color w:val="294F73"/>
            <w:u w:val="single"/>
          </w:rPr>
          <w:t>SDDA website</w:t>
        </w:r>
      </w:hyperlink>
    </w:p>
    <w:p>
      <w:r>
        <w:t>The operating sequence, primary pages, and visible controls were reviewed against K:\TrialManager through September 14, 2026. Screenshots show read-only inspection and previously prepared unsaved finance dialogs; no live transactions or operational changes were submitted for this manual. The current SDDA rulebook and official forms remain controlling.</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37080"/>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37080"/>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94F73"/>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94F73"/>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526B8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94F7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370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hyperlink" Target="https://www.sdda.ca/wp-content/uploads/2026/06/SDDA-Rules-July-2026.pdf" TargetMode="External"/><Relationship Id="rId32" Type="http://schemas.openxmlformats.org/officeDocument/2006/relationships/hyperlink" Target="https://www.sdda.ca/front-page/rules-rulebook/" TargetMode="External"/><Relationship Id="rId33"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