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 on breaking down assignments (Eduardo)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chose to focus on breaking down assignments (on this iteration of testing) because it is the main part of our insight and a significant functionality component of our insight.  Breaking down an assignment is a main problem we are addressing and a main feature we are trying to emphasize in our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students are shown an easy way to breakdown and manage their assignments then they will be more engaged and less likely to procrastinate.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Personas (Eduardo)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Overwhelmed easily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Can’t find balance between work and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Doesn’t touch assignments until weekends (discusses with friends)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he runs into a problem, he searches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If/when he doesn’t find what he needs he moves onto something else figuring he will ask someone later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 to interview: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  <w:t xml:space="preserve">Paul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  <w:t xml:space="preserve">Brigid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  <w:t xml:space="preserve">Neill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  <w:t xml:space="preserve">Leslie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Lauren</w:t>
        <w:br w:type="textWrapping"/>
        <w:t xml:space="preserve">Nirbhay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