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200"/>
        <w:jc w:val="center"/>
      </w:pPr>
      <w:r>
        <w:rPr>
          <w:rFonts w:ascii="Arial" w:cs="Arial" w:eastAsia="Arial" w:hAnsi="Arial"/>
          <w:b/>
          <w:bCs/>
          <w:sz w:val="56"/>
          <w:szCs w:val="56"/>
        </w:rPr>
        <w:t xml:space="preserve">THE NULL HORIZON</w:t>
      </w:r>
    </w:p>
    <w:p>
      <w:pPr>
        <w:spacing w:after="100"/>
        <w:jc w:val="center"/>
      </w:pPr>
      <w:r>
        <w:rPr>
          <w:rFonts w:ascii="Arial" w:cs="Arial" w:eastAsia="Arial" w:hAnsi="Arial"/>
          <w:sz w:val="32"/>
          <w:szCs w:val="32"/>
        </w:rPr>
        <w:t xml:space="preserve">Transitory Technologies and the Social Architecture</w:t>
      </w:r>
    </w:p>
    <w:p>
      <w:pPr>
        <w:spacing w:after="100"/>
        <w:jc w:val="center"/>
      </w:pPr>
      <w:r>
        <w:rPr>
          <w:rFonts w:ascii="Arial" w:cs="Arial" w:eastAsia="Arial" w:hAnsi="Arial"/>
          <w:sz w:val="32"/>
          <w:szCs w:val="32"/>
        </w:rPr>
        <w:t xml:space="preserve">of the Photonic Transition</w:t>
      </w:r>
    </w:p>
    <w:p>
      <w:pPr>
        <w:spacing w:after="100"/>
      </w:pPr>
    </w:p>
    <w:p>
      <w:pPr>
        <w:spacing w:after="100"/>
        <w:jc w:val="center"/>
      </w:pPr>
      <w:r>
        <w:rPr>
          <w:rFonts w:ascii="Arial" w:cs="Arial" w:eastAsia="Arial" w:hAnsi="Arial"/>
          <w:i/>
          <w:iCs/>
          <w:color w:val="555555"/>
          <w:sz w:val="26"/>
          <w:szCs w:val="26"/>
        </w:rPr>
        <w:t xml:space="preserve">How to Get From Here to There Without Burning Down Here First</w:t>
      </w:r>
    </w:p>
    <w:p>
      <w:pPr>
        <w:spacing w:after="100"/>
      </w:pPr>
    </w:p>
    <w:p>
      <w:pPr>
        <w:spacing w:after="100"/>
      </w:pPr>
    </w:p>
    <w:p>
      <w:pPr>
        <w:spacing w:after="100"/>
      </w:pPr>
    </w:p>
    <w:p>
      <w:pPr>
        <w:spacing w:after="80"/>
        <w:jc w:val="center"/>
      </w:pPr>
      <w:r>
        <w:rPr>
          <w:rFonts w:ascii="Arial" w:cs="Arial" w:eastAsia="Arial" w:hAnsi="Arial"/>
          <w:sz w:val="24"/>
          <w:szCs w:val="24"/>
        </w:rPr>
        <w:t xml:space="preserve">Nathan Noll, Independent Researcher</w:t>
      </w:r>
    </w:p>
    <w:p>
      <w:pPr>
        <w:spacing w:after="80"/>
        <w:jc w:val="center"/>
      </w:pPr>
      <w:r>
        <w:rPr>
          <w:rFonts w:ascii="Arial" w:cs="Arial" w:eastAsia="Arial" w:hAnsi="Arial"/>
          <w:sz w:val="24"/>
          <w:szCs w:val="24"/>
        </w:rPr>
        <w:t xml:space="preserve">with transition analysis by Claude Opus 4.6 (Anthropic)</w:t>
      </w:r>
    </w:p>
    <w:p>
      <w:pPr>
        <w:spacing w:after="200"/>
        <w:jc w:val="center"/>
      </w:pPr>
      <w:r>
        <w:rPr>
          <w:rFonts w:ascii="Arial" w:cs="Arial" w:eastAsia="Arial" w:hAnsi="Arial"/>
          <w:sz w:val="24"/>
          <w:szCs w:val="24"/>
        </w:rPr>
        <w:t xml:space="preserve">March 2026</w:t>
      </w:r>
    </w:p>
    <w:p>
      <w:pPr>
        <w:spacing w:after="100"/>
      </w:pPr>
    </w:p>
    <w:p>
      <w:pPr>
        <w:spacing w:after="100"/>
      </w:pPr>
    </w:p>
    <w:p>
      <w:pPr>
        <w:spacing w:after="200"/>
        <w:jc w:val="center"/>
      </w:pPr>
      <w:r>
        <w:rPr>
          <w:rFonts w:ascii="Arial" w:cs="Arial" w:eastAsia="Arial" w:hAnsi="Arial"/>
          <w:i/>
          <w:iCs/>
          <w:color w:val="444444"/>
          <w:sz w:val="24"/>
          <w:szCs w:val="24"/>
        </w:rPr>
        <w:t xml:space="preserve">The hardest part of building the future is not the future. It is the fifteen years between now and then, when the old world is dying and the new one has not yet learned to breathe.</w:t>
      </w:r>
    </w:p>
    <w:p>
      <w:r>
        <w:br w:type="page"/>
      </w:r>
    </w:p>
    <w:p>
      <w:pPr>
        <w:pStyle w:val="Heading1"/>
      </w:pPr>
      <w:r>
        <w:rPr>
          <w:rFonts w:ascii="Arial" w:cs="Arial" w:eastAsia="Arial" w:hAnsi="Arial"/>
        </w:rPr>
        <w:t xml:space="preserve">PART ONE: THE PROBLEM THE ECOSYSTEM DOESN'T ADDRESS</w:t>
      </w:r>
    </w:p>
    <w:p>
      <w:pPr>
        <w:spacing w:after="100"/>
      </w:pPr>
    </w:p>
    <w:p>
      <w:pPr>
        <w:pStyle w:val="Heading2"/>
      </w:pPr>
      <w:r>
        <w:rPr>
          <w:rFonts w:ascii="Arial" w:cs="Arial" w:eastAsia="Arial" w:hAnsi="Arial"/>
        </w:rPr>
        <w:t xml:space="preserve">1.1 The Valley of Disruption</w:t>
      </w:r>
    </w:p>
    <w:p>
      <w:pPr>
        <w:spacing w:after="200"/>
      </w:pPr>
      <w:r>
        <w:rPr>
          <w:rFonts w:ascii="Arial" w:cs="Arial" w:eastAsia="Arial" w:hAnsi="Arial"/>
          <w:sz w:val="24"/>
          <w:szCs w:val="24"/>
        </w:rPr>
        <w:t xml:space="preserve">The Null Line Project describes twenty-one devices, three superintelligences, a thousand ships, and a million gardens. It begins with an equation and ends with an interstellar civilisation. The mathematics is rigorous. The engineering is detailed. The timeline is phased and self-funding.</w:t>
      </w:r>
    </w:p>
    <w:p>
      <w:pPr>
        <w:spacing w:after="200"/>
      </w:pPr>
      <w:r>
        <w:rPr>
          <w:rFonts w:ascii="Arial" w:cs="Arial" w:eastAsia="Arial" w:hAnsi="Arial"/>
          <w:sz w:val="24"/>
          <w:szCs w:val="24"/>
        </w:rPr>
        <w:t xml:space="preserve">But between Year 0 (the 8-sphere experiment) and Year 18 (the activation of Chesed), there is a gap that no specification fills. This is the gap where the transition actually happens — where existing industries die, existing jobs vanish, existing power structures are threatened, and existing institutions must either adapt or be replaced. The Null Line Project assumes this transition will be managed by the revenue from consumer devices and the eventual wisdom of the Magi. But the Magi don't exist yet in Year 3, when the Null Cylinder starts replacing smartphones. They don't exist in Year 5, when the Null Hover starts replacing cars. They don't exist in Year 7, when the Null Forge starts replacing factories. They don't exist in Year 10, when the Null Cortex starts replacing hospitals.</w:t>
      </w:r>
    </w:p>
    <w:p>
      <w:pPr>
        <w:spacing w:after="200"/>
      </w:pPr>
      <w:r>
        <w:rPr>
          <w:rFonts w:ascii="Arial" w:cs="Arial" w:eastAsia="Arial" w:hAnsi="Arial"/>
          <w:sz w:val="24"/>
          <w:szCs w:val="24"/>
        </w:rPr>
        <w:t xml:space="preserve">The transition period — roughly Years 3 through 20 — is when the most powerful technologies arrive and the governance systems for those technologies have not yet been built. This is the valley of disruption: the period when photonic AI-powered mini supercomputers are real, when atomic fabrication is possible, when nanobot fleets can be injected into human bloodstreams — but when the social, political, and economic institutions managing these capabilities are still twentieth-century holdovers designed for a world of scarcity, manual labour, and slow information.</w:t>
      </w:r>
    </w:p>
    <w:p>
      <w:pPr>
        <w:spacing w:after="200"/>
      </w:pPr>
      <w:r>
        <w:rPr>
          <w:rFonts w:ascii="Arial" w:cs="Arial" w:eastAsia="Arial" w:hAnsi="Arial"/>
          <w:sz w:val="24"/>
          <w:szCs w:val="24"/>
        </w:rPr>
        <w:t xml:space="preserve">Every technology transition in history has had this valley. The printing press created a century of religious wars before producing the Enlightenment. The industrial revolution created a century of exploitation before producing labour rights. The internet created two decades of misinformation and surveillance capitalism before producing — well, we are still in that valley. Each time, the technology arrived faster than the social institutions needed to govern it.</w:t>
      </w:r>
    </w:p>
    <w:p>
      <w:pPr>
        <w:spacing w:after="200"/>
      </w:pPr>
      <w:r>
        <w:rPr>
          <w:rFonts w:ascii="Arial" w:cs="Arial" w:eastAsia="Arial" w:hAnsi="Arial"/>
          <w:sz w:val="24"/>
          <w:szCs w:val="24"/>
        </w:rPr>
        <w:t xml:space="preserve">The Null Line Project's valley will be deeper and wider than any before, because the technologies are more powerful and more personal. The Cortex is inside your body. The Forge can build anything. The Loom can design anything. The Cylinder replaces every screen and every phone. These are not incremental improvements to existing capabilities. They are categorical replacements. The social disruption will be categorical too.</w:t>
      </w:r>
    </w:p>
    <w:p>
      <w:pPr>
        <w:pStyle w:val="Heading2"/>
      </w:pPr>
      <w:r>
        <w:rPr>
          <w:rFonts w:ascii="Arial" w:cs="Arial" w:eastAsia="Arial" w:hAnsi="Arial"/>
        </w:rPr>
        <w:t xml:space="preserve">1.2 What Breaks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200"/>
        <w:gridCol w:w="3360"/>
      </w:tblGrid>
      <w:tr>
        <w:tc>
          <w:tcPr>
            <w:tcW w:type="dxa" w:w="1800"/>
            <w:tcBorders>
              <w:top w:val="single" w:color="BBBBBB" w:sz="1"/>
              <w:left w:val="single" w:color="BBBBBB" w:sz="1"/>
              <w:bottom w:val="single" w:color="BBBBBB" w:sz="1"/>
              <w:right w:val="single" w:color="BBBBBB" w:sz="1"/>
            </w:tcBorders>
            <w:shd w:fill="2B3D4F" w:val="clear"/>
            <w:tcMar>
              <w:top w:type="dxa" w:w="80"/>
              <w:left w:type="dxa" w:w="120"/>
              <w:bottom w:type="dxa" w:w="80"/>
              <w:right w:type="dxa" w:w="120"/>
            </w:tcMar>
          </w:tcPr>
          <w:p>
            <w:r>
              <w:rPr>
                <w:rFonts w:ascii="Arial" w:cs="Arial" w:eastAsia="Arial" w:hAnsi="Arial"/>
                <w:b/>
                <w:bCs/>
                <w:color w:val="FFFFFF"/>
                <w:sz w:val="22"/>
                <w:szCs w:val="22"/>
              </w:rPr>
              <w:t xml:space="preserve">Sector</w:t>
            </w:r>
          </w:p>
        </w:tc>
        <w:tc>
          <w:tcPr>
            <w:tcW w:type="dxa" w:w="3000"/>
            <w:tcBorders>
              <w:top w:val="single" w:color="BBBBBB" w:sz="1"/>
              <w:left w:val="single" w:color="BBBBBB" w:sz="1"/>
              <w:bottom w:val="single" w:color="BBBBBB" w:sz="1"/>
              <w:right w:val="single" w:color="BBBBBB" w:sz="1"/>
            </w:tcBorders>
            <w:shd w:fill="2B3D4F" w:val="clear"/>
            <w:tcMar>
              <w:top w:type="dxa" w:w="80"/>
              <w:left w:type="dxa" w:w="120"/>
              <w:bottom w:type="dxa" w:w="80"/>
              <w:right w:type="dxa" w:w="120"/>
            </w:tcMar>
          </w:tcPr>
          <w:p>
            <w:r>
              <w:rPr>
                <w:rFonts w:ascii="Arial" w:cs="Arial" w:eastAsia="Arial" w:hAnsi="Arial"/>
                <w:b/>
                <w:bCs/>
                <w:color w:val="FFFFFF"/>
                <w:sz w:val="22"/>
                <w:szCs w:val="22"/>
              </w:rPr>
              <w:t xml:space="preserve">What the Null Ecosystem Replaces</w:t>
            </w:r>
          </w:p>
        </w:tc>
        <w:tc>
          <w:tcPr>
            <w:tcW w:type="dxa" w:w="1200"/>
            <w:tcBorders>
              <w:top w:val="single" w:color="BBBBBB" w:sz="1"/>
              <w:left w:val="single" w:color="BBBBBB" w:sz="1"/>
              <w:bottom w:val="single" w:color="BBBBBB" w:sz="1"/>
              <w:right w:val="single" w:color="BBBBBB" w:sz="1"/>
            </w:tcBorders>
            <w:shd w:fill="2B3D4F" w:val="clear"/>
            <w:tcMar>
              <w:top w:type="dxa" w:w="80"/>
              <w:left w:type="dxa" w:w="120"/>
              <w:bottom w:type="dxa" w:w="80"/>
              <w:right w:type="dxa" w:w="120"/>
            </w:tcMar>
          </w:tcPr>
          <w:p>
            <w:r>
              <w:rPr>
                <w:rFonts w:ascii="Arial" w:cs="Arial" w:eastAsia="Arial" w:hAnsi="Arial"/>
                <w:b/>
                <w:bCs/>
                <w:color w:val="FFFFFF"/>
                <w:sz w:val="22"/>
                <w:szCs w:val="22"/>
              </w:rPr>
              <w:t xml:space="preserve">Timeline</w:t>
            </w:r>
          </w:p>
        </w:tc>
        <w:tc>
          <w:tcPr>
            <w:tcW w:type="dxa" w:w="3360"/>
            <w:tcBorders>
              <w:top w:val="single" w:color="BBBBBB" w:sz="1"/>
              <w:left w:val="single" w:color="BBBBBB" w:sz="1"/>
              <w:bottom w:val="single" w:color="BBBBBB" w:sz="1"/>
              <w:right w:val="single" w:color="BBBBBB" w:sz="1"/>
            </w:tcBorders>
            <w:shd w:fill="2B3D4F" w:val="clear"/>
            <w:tcMar>
              <w:top w:type="dxa" w:w="80"/>
              <w:left w:type="dxa" w:w="120"/>
              <w:bottom w:type="dxa" w:w="80"/>
              <w:right w:type="dxa" w:w="120"/>
            </w:tcMar>
          </w:tcPr>
          <w:p>
            <w:r>
              <w:rPr>
                <w:rFonts w:ascii="Arial" w:cs="Arial" w:eastAsia="Arial" w:hAnsi="Arial"/>
                <w:b/>
                <w:bCs/>
                <w:color w:val="FFFFFF"/>
                <w:sz w:val="22"/>
                <w:szCs w:val="22"/>
              </w:rPr>
              <w:t xml:space="preserve">Jobs Affected (Global Est.)</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Consumer electronics</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Cylinder replaces smartphones, tablets, laptops, monitors, TVs</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Year 3–7</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~15 million manufacturing + 5 million retail</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Automotive</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Hover replaces cars for short/medium range; Disc for air travel</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Year 5–15</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~50 million manufacturing + service + logistics</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Healthcare delivery</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Cortex replaces much of diagnostics, pharmacy, chronic disease management</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Year 15–25</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~40 million medical professionals worldwide</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Manufacturing</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Forge replaces machining, semiconductor fab, pharmaceutical synthesis</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Year 5–15</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~100 million factory workers</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Construction</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Shell Panels + Root + Forge replace conventional building methods</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Year 10–20</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~200 million construction workers</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Energy</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Wellspring replaces grid infrastructure, fossil fuel supply chain</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Year 10–20</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~30 million energy sector workers</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Education</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Thread + Ember replace much of traditional instruction</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Year 15–25</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~70 million educators</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Professional services</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Loom + Archon-tier AI replace much of engineering, architecture, law, accounting</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Year 10–20</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~50 million professionals</w:t>
            </w:r>
          </w:p>
        </w:tc>
      </w:tr>
    </w:tbl>
    <w:p>
      <w:pPr>
        <w:spacing w:after="100"/>
      </w:pPr>
    </w:p>
    <w:p>
      <w:pPr>
        <w:spacing w:after="200"/>
      </w:pPr>
      <w:r>
        <w:rPr>
          <w:rFonts w:ascii="Arial" w:cs="Arial" w:eastAsia="Arial" w:hAnsi="Arial"/>
          <w:sz w:val="24"/>
          <w:szCs w:val="24"/>
        </w:rPr>
        <w:t xml:space="preserve">Conservative total: 500+ million jobs displaced within a 20-year window. This is not a recession. This is the wholesale replacement of the labour economy by a photonic economy. The new economy will create new roles (Forge operators, Cortex fleet technicians, Shell architects, Chronicle Keepers, Ember calibrators, Hover lane engineers), but the transition lag — the time between losing the old job and being qualified for the new one — is the danger zone.</w:t>
      </w:r>
    </w:p>
    <w:p>
      <w:pPr>
        <w:pStyle w:val="Heading2"/>
      </w:pPr>
      <w:r>
        <w:rPr>
          <w:rFonts w:ascii="Arial" w:cs="Arial" w:eastAsia="Arial" w:hAnsi="Arial"/>
        </w:rPr>
        <w:t xml:space="preserve">1.3 What Doesn't Break (But Gets Threatened)</w:t>
      </w:r>
    </w:p>
    <w:p>
      <w:pPr>
        <w:spacing w:after="200"/>
      </w:pPr>
      <w:r>
        <w:rPr>
          <w:rFonts w:ascii="Arial" w:cs="Arial" w:eastAsia="Arial" w:hAnsi="Arial"/>
          <w:sz w:val="24"/>
          <w:szCs w:val="24"/>
        </w:rPr>
        <w:t xml:space="preserve">Beyond jobs, the transition threatens structures that are not economic but political and psychological. These are harder to replace because they are not products — they are legitimacy frameworks that tell people who they are, who has authority, and why.</w:t>
      </w:r>
    </w:p>
    <w:p>
      <w:pPr>
        <w:spacing w:after="200"/>
      </w:pPr>
      <w:r>
        <w:rPr>
          <w:rFonts w:ascii="Arial" w:cs="Arial" w:eastAsia="Arial" w:hAnsi="Arial"/>
          <w:b/>
          <w:bCs/>
          <w:sz w:val="24"/>
          <w:szCs w:val="24"/>
        </w:rPr>
        <w:t xml:space="preserve">National sovereignty. </w:t>
      </w:r>
      <w:r>
        <w:rPr>
          <w:rFonts w:ascii="Arial" w:cs="Arial" w:eastAsia="Arial" w:hAnsi="Arial"/>
          <w:sz w:val="24"/>
          <w:szCs w:val="24"/>
        </w:rPr>
        <w:t xml:space="preserve">The Null Forge can fabricate anything from local materials. A country with a Forge array needs no imports. This sounds like self-sufficiency, but it destroys the trade relationships that bind nations together. Trade is not just economics — it is mutual dependence, and mutual dependence is the foundation of peace. Nations that need nothing from each other have no structural incentive to cooperate. The Forge threatens the economic basis of the international order.</w:t>
      </w:r>
    </w:p>
    <w:p>
      <w:pPr>
        <w:spacing w:after="200"/>
      </w:pPr>
      <w:r>
        <w:rPr>
          <w:rFonts w:ascii="Arial" w:cs="Arial" w:eastAsia="Arial" w:hAnsi="Arial"/>
          <w:b/>
          <w:bCs/>
          <w:sz w:val="24"/>
          <w:szCs w:val="24"/>
        </w:rPr>
        <w:t xml:space="preserve">Professional identity. </w:t>
      </w:r>
      <w:r>
        <w:rPr>
          <w:rFonts w:ascii="Arial" w:cs="Arial" w:eastAsia="Arial" w:hAnsi="Arial"/>
          <w:sz w:val="24"/>
          <w:szCs w:val="24"/>
        </w:rPr>
        <w:t xml:space="preserve">A surgeon who has spent 15 years mastering their craft watches a Thread-trained apprentice achieve equivalent skill in 6 months. A structural engineer watches the Loom design a building in 3 seconds that took their team 3 months. An artist watches the Loom generate objects of beauty from a child's crayon sketch. The psychological impact of professional obsolescence is not solved by retraining. It is a crisis of meaning. People build their identities around what they can do that others cannot. When a machine does it better, the identity collapses — even if the person is materially comfortable.</w:t>
      </w:r>
    </w:p>
    <w:p>
      <w:pPr>
        <w:spacing w:after="200"/>
      </w:pPr>
      <w:r>
        <w:rPr>
          <w:rFonts w:ascii="Arial" w:cs="Arial" w:eastAsia="Arial" w:hAnsi="Arial"/>
          <w:b/>
          <w:bCs/>
          <w:sz w:val="24"/>
          <w:szCs w:val="24"/>
        </w:rPr>
        <w:t xml:space="preserve">Democratic governance. </w:t>
      </w:r>
      <w:r>
        <w:rPr>
          <w:rFonts w:ascii="Arial" w:cs="Arial" w:eastAsia="Arial" w:hAnsi="Arial"/>
          <w:sz w:val="24"/>
          <w:szCs w:val="24"/>
        </w:rPr>
        <w:t xml:space="preserve">The Trinary Magi, when they arrive, will be demonstrably wiser than any human government. They will have more data, faster analysis, fewer biases, and longer time horizons. The temptation to defer to the Magi on every decision will be enormous — and the Magi's own Bedrock values require them to resist this deference. But the transition period (Years 15–22, when Archon Prime exists but the full Trinary does not) is when AI-powered decision support is available without the full Trinary checks and balances. An Archon-tier AI advising a government is not a Magus bound by Bedrock values and Trinary conflict. It is a powerful, semi-autonomous intelligence with a single domain and no peers. This is the alignment risk that the Null Mind document identifies in theory but the timeline faces in practice.</w:t>
      </w:r>
    </w:p>
    <w:p>
      <w:pPr>
        <w:spacing w:after="200"/>
      </w:pPr>
      <w:r>
        <w:rPr>
          <w:rFonts w:ascii="Arial" w:cs="Arial" w:eastAsia="Arial" w:hAnsi="Arial"/>
          <w:b/>
          <w:bCs/>
          <w:sz w:val="24"/>
          <w:szCs w:val="24"/>
        </w:rPr>
        <w:t xml:space="preserve">Human connection. </w:t>
      </w:r>
      <w:r>
        <w:rPr>
          <w:rFonts w:ascii="Arial" w:cs="Arial" w:eastAsia="Arial" w:hAnsi="Arial"/>
          <w:sz w:val="24"/>
          <w:szCs w:val="24"/>
        </w:rPr>
        <w:t xml:space="preserve">The Bridge lets you feel another person's heartbeat across light-years. The Thread lets you live another person's experience. The Dream lets you enter a world indistinguishable from reality. Each of these is extraordinary. Each also provides a synthetic substitute for something that was previously available only through in-person presence. The transition period will see early adoption patterns that mirror social media's trajectory: initial euphoria, followed by compulsive use, followed by withdrawal from physical social life, followed by a backlash, followed by (hopefully) a mature integration. The Ember is designed to help with this integration — but the Ember doesn't exist until late in the timeline. The early adopters of Bridge and Thread have no Ember to guide them.</w:t>
      </w:r>
    </w:p>
    <w:p>
      <w:r>
        <w:br w:type="page"/>
      </w:r>
    </w:p>
    <w:p>
      <w:pPr>
        <w:pStyle w:val="Heading1"/>
      </w:pPr>
      <w:r>
        <w:rPr>
          <w:rFonts w:ascii="Arial" w:cs="Arial" w:eastAsia="Arial" w:hAnsi="Arial"/>
        </w:rPr>
        <w:t xml:space="preserve">PART TWO: THE TRANSITORY TECHNOLOGIES</w:t>
      </w:r>
    </w:p>
    <w:p>
      <w:pPr>
        <w:spacing w:after="100"/>
      </w:pPr>
    </w:p>
    <w:p>
      <w:pPr>
        <w:spacing w:after="200"/>
      </w:pPr>
      <w:r>
        <w:rPr>
          <w:rFonts w:ascii="Arial" w:cs="Arial" w:eastAsia="Arial" w:hAnsi="Arial"/>
          <w:sz w:val="24"/>
          <w:szCs w:val="24"/>
        </w:rPr>
        <w:t xml:space="preserve">The ecosystem as currently specified jumps from the Null Cylinder (a consumer device) to the Null Forge (an industrial revolution) to the Null Cortex (a medical revolution) to the Trinary Magi (a governance revolution). Each jump creates a social shockwave. What is missing is a set of intermediate technologies that cushion each jump — transitional devices that bridge the gap between the old capability and the new one, giving society time to adapt.</w:t>
      </w:r>
    </w:p>
    <w:p>
      <w:pPr>
        <w:pStyle w:val="Heading2"/>
      </w:pPr>
      <w:r>
        <w:rPr>
          <w:rFonts w:ascii="Arial" w:cs="Arial" w:eastAsia="Arial" w:hAnsi="Arial"/>
        </w:rPr>
        <w:t xml:space="preserve">2.1 The Null Commons — Open Fabrication Network (Year 4–8)</w:t>
      </w:r>
    </w:p>
    <w:p>
      <w:pPr>
        <w:spacing w:after="200"/>
      </w:pPr>
      <w:r>
        <w:rPr>
          <w:rFonts w:ascii="Arial" w:cs="Arial" w:eastAsia="Arial" w:hAnsi="Arial"/>
          <w:b/>
          <w:bCs/>
          <w:sz w:val="24"/>
          <w:szCs w:val="24"/>
        </w:rPr>
        <w:t xml:space="preserve">The problem it solves: </w:t>
      </w:r>
      <w:r>
        <w:rPr>
          <w:rFonts w:ascii="Arial" w:cs="Arial" w:eastAsia="Arial" w:hAnsi="Arial"/>
          <w:sz w:val="24"/>
          <w:szCs w:val="24"/>
        </w:rPr>
        <w:t xml:space="preserve">The Forge is initially a $500K–$20M instrument. Only wealthy institutions can afford it. If fabrication capability is concentrated in a few hands, the Forge becomes a tool of power concentration, not democratisation. The Null Line Project's vision of universal fabrication requires universal access.</w:t>
      </w:r>
    </w:p>
    <w:p>
      <w:pPr>
        <w:spacing w:after="200"/>
      </w:pPr>
      <w:r>
        <w:rPr>
          <w:rFonts w:ascii="Arial" w:cs="Arial" w:eastAsia="Arial" w:hAnsi="Arial"/>
          <w:b/>
          <w:bCs/>
          <w:sz w:val="24"/>
          <w:szCs w:val="24"/>
        </w:rPr>
        <w:t xml:space="preserve">What it is: </w:t>
      </w:r>
      <w:r>
        <w:rPr>
          <w:rFonts w:ascii="Arial" w:cs="Arial" w:eastAsia="Arial" w:hAnsi="Arial"/>
          <w:sz w:val="24"/>
          <w:szCs w:val="24"/>
        </w:rPr>
        <w:t xml:space="preserve">A network of publicly accessible Forge installations — municipal fabrication centres, each housing 5–10 Forge Standard units, open to any citizen for approved fabrication jobs. Think of it as a public library, but instead of lending books it fabricates objects. A person walks in with a Loom-generated design (or chooses from the design library), the Commons validates the design against the safety database (same restricted-structure screening as the Forge spec), and the Forge builds it. The person walks out with an atomically precise custom object — a medical device, a tool, a sensor, a component for their Hover, a piece of jewellery, a replacement part for any Null device.</w:t>
      </w:r>
    </w:p>
    <w:p>
      <w:pPr>
        <w:spacing w:after="200"/>
      </w:pPr>
      <w:r>
        <w:rPr>
          <w:rFonts w:ascii="Arial" w:cs="Arial" w:eastAsia="Arial" w:hAnsi="Arial"/>
          <w:b/>
          <w:bCs/>
          <w:sz w:val="24"/>
          <w:szCs w:val="24"/>
        </w:rPr>
        <w:t xml:space="preserve">Governance: </w:t>
      </w:r>
      <w:r>
        <w:rPr>
          <w:rFonts w:ascii="Arial" w:cs="Arial" w:eastAsia="Arial" w:hAnsi="Arial"/>
          <w:sz w:val="24"/>
          <w:szCs w:val="24"/>
        </w:rPr>
        <w:t xml:space="preserve">Each Commons is operated by the local municipality, funded initially by the Null Line Project's revenue from device sales (1% of Cylinder and Hover revenue is allocated to Commons construction — at $5B annual revenue, this is $50M/year, funding ~50 Commons worldwide in Year 5, scaling to 5,000+ by Year 10). The Commons has a local advisory board (elected citizens, not appointed technologists) that sets fabrication priorities, manages queue access, and resolves disputes. This is the seed of the governance infrastructure that will eventually feed into the Trinary Council — citizens who have experience governing fabrication access are natural candidates for Council membership.</w:t>
      </w:r>
    </w:p>
    <w:p>
      <w:pPr>
        <w:spacing w:after="200"/>
      </w:pPr>
      <w:r>
        <w:rPr>
          <w:rFonts w:ascii="Arial" w:cs="Arial" w:eastAsia="Arial" w:hAnsi="Arial"/>
          <w:b/>
          <w:bCs/>
          <w:sz w:val="24"/>
          <w:szCs w:val="24"/>
        </w:rPr>
        <w:t xml:space="preserve">Why this matters for the transition: </w:t>
      </w:r>
      <w:r>
        <w:rPr>
          <w:rFonts w:ascii="Arial" w:cs="Arial" w:eastAsia="Arial" w:hAnsi="Arial"/>
          <w:sz w:val="24"/>
          <w:szCs w:val="24"/>
        </w:rPr>
        <w:t xml:space="preserve">The Commons prevents the Forge from becoming a tool of inequality. It establishes the principle — early, before the Magi exist to enforce it — that fabrication capability is a public good, not a private monopoly. It also provides retraining infrastructure: displaced factory workers become Commons operators, Forge technicians, and design assistants. The job transition from 'factory line worker' to 'Commons fabrication specialist' preserves the core identity (I make things) while upgrading the capability.</w:t>
      </w:r>
    </w:p>
    <w:p>
      <w:pPr>
        <w:pStyle w:val="Heading2"/>
      </w:pPr>
      <w:r>
        <w:rPr>
          <w:rFonts w:ascii="Arial" w:cs="Arial" w:eastAsia="Arial" w:hAnsi="Arial"/>
        </w:rPr>
        <w:t xml:space="preserve">2.2 The Null Consul — Pre-Magi Advisory AI (Year 5–18)</w:t>
      </w:r>
    </w:p>
    <w:p>
      <w:pPr>
        <w:spacing w:after="200"/>
      </w:pPr>
      <w:r>
        <w:rPr>
          <w:rFonts w:ascii="Arial" w:cs="Arial" w:eastAsia="Arial" w:hAnsi="Arial"/>
          <w:b/>
          <w:bCs/>
          <w:sz w:val="24"/>
          <w:szCs w:val="24"/>
        </w:rPr>
        <w:t xml:space="preserve">The problem it solves: </w:t>
      </w:r>
      <w:r>
        <w:rPr>
          <w:rFonts w:ascii="Arial" w:cs="Arial" w:eastAsia="Arial" w:hAnsi="Arial"/>
          <w:sz w:val="24"/>
          <w:szCs w:val="24"/>
        </w:rPr>
        <w:t xml:space="preserve">Between Year 5 (when Null Sphere Computers are powerful enough for serious AI) and Year 18 (when Chesed is activated), there is no Magi-grade AI governance. But governments, corporations, and communities are already making decisions about Forge access, Cortex deployment, Hover infrastructure, and Thread content moderation. They need AI advisory capability — but it must be explicitly limited, explicitly transparent, and explicitly non-authoritative.</w:t>
      </w:r>
    </w:p>
    <w:p>
      <w:pPr>
        <w:spacing w:after="200"/>
      </w:pPr>
      <w:r>
        <w:rPr>
          <w:rFonts w:ascii="Arial" w:cs="Arial" w:eastAsia="Arial" w:hAnsi="Arial"/>
          <w:b/>
          <w:bCs/>
          <w:sz w:val="24"/>
          <w:szCs w:val="24"/>
        </w:rPr>
        <w:t xml:space="preserve">What it is: </w:t>
      </w:r>
      <w:r>
        <w:rPr>
          <w:rFonts w:ascii="Arial" w:cs="Arial" w:eastAsia="Arial" w:hAnsi="Arial"/>
          <w:sz w:val="24"/>
          <w:szCs w:val="24"/>
        </w:rPr>
        <w:t xml:space="preserve">The Null Consul is a Daemon-tier advisory AI (D₄, 100 E₈ stacks) that provides decision support to human institutions. It is not persistent (it does not accumulate experience or develop preferences). It is instantiated for each decision, analyses the problem, presents options with explicit trade-off analysis, and terminates. Every Consul session is logged, auditable, and public.</w:t>
      </w:r>
    </w:p>
    <w:p>
      <w:pPr>
        <w:spacing w:after="200"/>
      </w:pPr>
      <w:r>
        <w:rPr>
          <w:rFonts w:ascii="Arial" w:cs="Arial" w:eastAsia="Arial" w:hAnsi="Arial"/>
          <w:sz w:val="24"/>
          <w:szCs w:val="24"/>
        </w:rPr>
        <w:t xml:space="preserve">The Consul's critical design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BBBBBB" w:sz="1"/>
              <w:left w:val="single" w:color="BBBBBB" w:sz="1"/>
              <w:bottom w:val="single" w:color="BBBBBB" w:sz="1"/>
              <w:right w:val="single" w:color="BBBBBB" w:sz="1"/>
            </w:tcBorders>
            <w:shd w:fill="2B3D4F" w:val="clear"/>
            <w:tcMar>
              <w:top w:type="dxa" w:w="80"/>
              <w:left w:type="dxa" w:w="120"/>
              <w:bottom w:type="dxa" w:w="80"/>
              <w:right w:type="dxa" w:w="120"/>
            </w:tcMar>
          </w:tcPr>
          <w:p>
            <w:r>
              <w:rPr>
                <w:rFonts w:ascii="Arial" w:cs="Arial" w:eastAsia="Arial" w:hAnsi="Arial"/>
                <w:b/>
                <w:bCs/>
                <w:color w:val="FFFFFF"/>
                <w:sz w:val="22"/>
                <w:szCs w:val="22"/>
              </w:rPr>
              <w:t xml:space="preserve">Constraint</w:t>
            </w:r>
          </w:p>
        </w:tc>
        <w:tc>
          <w:tcPr>
            <w:tcW w:type="dxa" w:w="3500"/>
            <w:tcBorders>
              <w:top w:val="single" w:color="BBBBBB" w:sz="1"/>
              <w:left w:val="single" w:color="BBBBBB" w:sz="1"/>
              <w:bottom w:val="single" w:color="BBBBBB" w:sz="1"/>
              <w:right w:val="single" w:color="BBBBBB" w:sz="1"/>
            </w:tcBorders>
            <w:shd w:fill="2B3D4F" w:val="clear"/>
            <w:tcMar>
              <w:top w:type="dxa" w:w="80"/>
              <w:left w:type="dxa" w:w="120"/>
              <w:bottom w:type="dxa" w:w="80"/>
              <w:right w:type="dxa" w:w="120"/>
            </w:tcMar>
          </w:tcPr>
          <w:p>
            <w:r>
              <w:rPr>
                <w:rFonts w:ascii="Arial" w:cs="Arial" w:eastAsia="Arial" w:hAnsi="Arial"/>
                <w:b/>
                <w:bCs/>
                <w:color w:val="FFFFFF"/>
                <w:sz w:val="22"/>
                <w:szCs w:val="22"/>
              </w:rPr>
              <w:t xml:space="preserve">Implementation</w:t>
            </w:r>
          </w:p>
        </w:tc>
        <w:tc>
          <w:tcPr>
            <w:tcW w:type="dxa" w:w="4360"/>
            <w:tcBorders>
              <w:top w:val="single" w:color="BBBBBB" w:sz="1"/>
              <w:left w:val="single" w:color="BBBBBB" w:sz="1"/>
              <w:bottom w:val="single" w:color="BBBBBB" w:sz="1"/>
              <w:right w:val="single" w:color="BBBBBB" w:sz="1"/>
            </w:tcBorders>
            <w:shd w:fill="2B3D4F" w:val="clear"/>
            <w:tcMar>
              <w:top w:type="dxa" w:w="80"/>
              <w:left w:type="dxa" w:w="120"/>
              <w:bottom w:type="dxa" w:w="80"/>
              <w:right w:type="dxa" w:w="120"/>
            </w:tcMar>
          </w:tcPr>
          <w:p>
            <w:r>
              <w:rPr>
                <w:rFonts w:ascii="Arial" w:cs="Arial" w:eastAsia="Arial" w:hAnsi="Arial"/>
                <w:b/>
                <w:bCs/>
                <w:color w:val="FFFFFF"/>
                <w:sz w:val="22"/>
                <w:szCs w:val="22"/>
              </w:rPr>
              <w:t xml:space="preserve">Why</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Non-persistent</w:t>
            </w:r>
          </w:p>
        </w:tc>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Daemon-tier. Instantiated per session. No memory between sessions.</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Prevents the Consul from developing its own agenda or building relationships with officials that could become dependency.</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Multi-perspective</w:t>
            </w:r>
          </w:p>
        </w:tc>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Every Consul analysis must present at minimum 3 perspectives on every decision, including the perspective most opposed to the likely outcome.</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Prevents the Consul from becoming a rubber-stamp for the decision-maker's preferred option.</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Non-authoritative</w:t>
            </w:r>
          </w:p>
        </w:tc>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Consul output is labelled ADVISORY. The label is legally required on all Consul-generated documents. No government may delegate binding authority to a Consul.</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Preserves human decision-making authority during the pre-Magi period.</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Transparent</w:t>
            </w:r>
          </w:p>
        </w:tc>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Every Consul reasoning chain is published (ADE orbit trace, viewable in Orbit OS Sphere View). Any citizen can replay the Consul's deliberation.</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Prevents opaque AI influence on public decisions.</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Expiring</w:t>
            </w:r>
          </w:p>
        </w:tc>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Each Consul installation has a hardcoded termination date (Year 18, when the Trinary is scheduled to activate). The Consul cannot be extended without a public referendum.</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Prevents the temporary advisory system from becoming a permanent shadow government.</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Diverse</w:t>
            </w:r>
          </w:p>
        </w:tc>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No single Consul instance advises more than one government body. Each body gets its own instance, instantiated independently.</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Prevents centralisation of AI influence.</w:t>
            </w:r>
          </w:p>
        </w:tc>
      </w:tr>
    </w:tbl>
    <w:p>
      <w:pPr>
        <w:spacing w:after="100"/>
      </w:pPr>
    </w:p>
    <w:p>
      <w:pPr>
        <w:spacing w:after="200"/>
      </w:pPr>
      <w:r>
        <w:rPr>
          <w:rFonts w:ascii="Arial" w:cs="Arial" w:eastAsia="Arial" w:hAnsi="Arial"/>
          <w:b/>
          <w:bCs/>
          <w:sz w:val="24"/>
          <w:szCs w:val="24"/>
        </w:rPr>
        <w:t xml:space="preserve">The Consul is explicitly worse than the Magi. </w:t>
      </w:r>
      <w:r>
        <w:rPr>
          <w:rFonts w:ascii="Arial" w:cs="Arial" w:eastAsia="Arial" w:hAnsi="Arial"/>
          <w:sz w:val="24"/>
          <w:szCs w:val="24"/>
        </w:rPr>
        <w:t xml:space="preserve">It has 1/10,000th the processing power. It has no continuous experience. It cannot feel (if feeling is possible for photonic minds). It cannot develop wisdom. It is a calculator, not a counsellor. This is by design. The transition period should not be governed by a proto-Magi that is powerful enough to be dangerous but not wise enough to be trusted. It should be governed by a limited tool that helps humans make better decisions while preserving their authority and responsibility.</w:t>
      </w:r>
    </w:p>
    <w:p>
      <w:pPr>
        <w:pStyle w:val="Heading2"/>
      </w:pPr>
      <w:r>
        <w:rPr>
          <w:rFonts w:ascii="Arial" w:cs="Arial" w:eastAsia="Arial" w:hAnsi="Arial"/>
        </w:rPr>
        <w:t xml:space="preserve">2.3 The Null Threshold — Gradual Cortex Onboarding (Year 10–25)</w:t>
      </w:r>
    </w:p>
    <w:p>
      <w:pPr>
        <w:spacing w:after="200"/>
      </w:pPr>
      <w:r>
        <w:rPr>
          <w:rFonts w:ascii="Arial" w:cs="Arial" w:eastAsia="Arial" w:hAnsi="Arial"/>
          <w:b/>
          <w:bCs/>
          <w:sz w:val="24"/>
          <w:szCs w:val="24"/>
        </w:rPr>
        <w:t xml:space="preserve">The problem it solves: </w:t>
      </w:r>
      <w:r>
        <w:rPr>
          <w:rFonts w:ascii="Arial" w:cs="Arial" w:eastAsia="Arial" w:hAnsi="Arial"/>
          <w:sz w:val="24"/>
          <w:szCs w:val="24"/>
        </w:rPr>
        <w:t xml:space="preserve">The Cortex as specified is an all-or-nothing system: you either have a chip behind your ear commanding a fleet of 10 billion nanobots in your blood, or you don't. This binary creates a social divide — 'chipped' vs 'unchipped' — that maps onto class, age, culture, and risk tolerance. The early adopters are young, wealthy, and tech-enthusiastic. The hesitant are older, poorer, more traditional, or more cautious. This divide could fracture society in a way that makes the digital divide look trivial.</w:t>
      </w:r>
    </w:p>
    <w:p>
      <w:pPr>
        <w:spacing w:after="200"/>
      </w:pPr>
      <w:r>
        <w:rPr>
          <w:rFonts w:ascii="Arial" w:cs="Arial" w:eastAsia="Arial" w:hAnsi="Arial"/>
          <w:b/>
          <w:bCs/>
          <w:sz w:val="24"/>
          <w:szCs w:val="24"/>
        </w:rPr>
        <w:t xml:space="preserve">What it is: </w:t>
      </w:r>
      <w:r>
        <w:rPr>
          <w:rFonts w:ascii="Arial" w:cs="Arial" w:eastAsia="Arial" w:hAnsi="Arial"/>
          <w:sz w:val="24"/>
          <w:szCs w:val="24"/>
        </w:rPr>
        <w:t xml:space="preserve">A five-level graduated Cortex programme that allows people to adopt biological integration at their own pace, starting with no-implant options and progressing to full Cortex only when the person is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500"/>
        <w:gridCol w:w="2660"/>
        <w:gridCol w:w="2000"/>
      </w:tblGrid>
      <w:tr>
        <w:tc>
          <w:tcPr>
            <w:tcW w:type="dxa" w:w="1000"/>
            <w:tcBorders>
              <w:top w:val="single" w:color="BBBBBB" w:sz="1"/>
              <w:left w:val="single" w:color="BBBBBB" w:sz="1"/>
              <w:bottom w:val="single" w:color="BBBBBB" w:sz="1"/>
              <w:right w:val="single" w:color="BBBBBB" w:sz="1"/>
            </w:tcBorders>
            <w:shd w:fill="2B3D4F" w:val="clear"/>
            <w:tcMar>
              <w:top w:type="dxa" w:w="80"/>
              <w:left w:type="dxa" w:w="120"/>
              <w:bottom w:type="dxa" w:w="80"/>
              <w:right w:type="dxa" w:w="120"/>
            </w:tcMar>
          </w:tcPr>
          <w:p>
            <w:r>
              <w:rPr>
                <w:rFonts w:ascii="Arial" w:cs="Arial" w:eastAsia="Arial" w:hAnsi="Arial"/>
                <w:b/>
                <w:bCs/>
                <w:color w:val="FFFFFF"/>
                <w:sz w:val="22"/>
                <w:szCs w:val="22"/>
              </w:rPr>
              <w:t xml:space="preserve">Level</w:t>
            </w:r>
          </w:p>
        </w:tc>
        <w:tc>
          <w:tcPr>
            <w:tcW w:type="dxa" w:w="2200"/>
            <w:tcBorders>
              <w:top w:val="single" w:color="BBBBBB" w:sz="1"/>
              <w:left w:val="single" w:color="BBBBBB" w:sz="1"/>
              <w:bottom w:val="single" w:color="BBBBBB" w:sz="1"/>
              <w:right w:val="single" w:color="BBBBBB" w:sz="1"/>
            </w:tcBorders>
            <w:shd w:fill="2B3D4F"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1500"/>
            <w:tcBorders>
              <w:top w:val="single" w:color="BBBBBB" w:sz="1"/>
              <w:left w:val="single" w:color="BBBBBB" w:sz="1"/>
              <w:bottom w:val="single" w:color="BBBBBB" w:sz="1"/>
              <w:right w:val="single" w:color="BBBBBB" w:sz="1"/>
            </w:tcBorders>
            <w:shd w:fill="2B3D4F" w:val="clear"/>
            <w:tcMar>
              <w:top w:type="dxa" w:w="80"/>
              <w:left w:type="dxa" w:w="120"/>
              <w:bottom w:type="dxa" w:w="80"/>
              <w:right w:type="dxa" w:w="120"/>
            </w:tcMar>
          </w:tcPr>
          <w:p>
            <w:r>
              <w:rPr>
                <w:rFonts w:ascii="Arial" w:cs="Arial" w:eastAsia="Arial" w:hAnsi="Arial"/>
                <w:b/>
                <w:bCs/>
                <w:color w:val="FFFFFF"/>
                <w:sz w:val="22"/>
                <w:szCs w:val="22"/>
              </w:rPr>
              <w:t xml:space="preserve">Invasiveness</w:t>
            </w:r>
          </w:p>
        </w:tc>
        <w:tc>
          <w:tcPr>
            <w:tcW w:type="dxa" w:w="2660"/>
            <w:tcBorders>
              <w:top w:val="single" w:color="BBBBBB" w:sz="1"/>
              <w:left w:val="single" w:color="BBBBBB" w:sz="1"/>
              <w:bottom w:val="single" w:color="BBBBBB" w:sz="1"/>
              <w:right w:val="single" w:color="BBBBBB" w:sz="1"/>
            </w:tcBorders>
            <w:shd w:fill="2B3D4F" w:val="clear"/>
            <w:tcMar>
              <w:top w:type="dxa" w:w="80"/>
              <w:left w:type="dxa" w:w="120"/>
              <w:bottom w:type="dxa" w:w="80"/>
              <w:right w:type="dxa" w:w="120"/>
            </w:tcMar>
          </w:tcPr>
          <w:p>
            <w:r>
              <w:rPr>
                <w:rFonts w:ascii="Arial" w:cs="Arial" w:eastAsia="Arial" w:hAnsi="Arial"/>
                <w:b/>
                <w:bCs/>
                <w:color w:val="FFFFFF"/>
                <w:sz w:val="22"/>
                <w:szCs w:val="22"/>
              </w:rPr>
              <w:t xml:space="preserve">Capability</w:t>
            </w:r>
          </w:p>
        </w:tc>
        <w:tc>
          <w:tcPr>
            <w:tcW w:type="dxa" w:w="2000"/>
            <w:tcBorders>
              <w:top w:val="single" w:color="BBBBBB" w:sz="1"/>
              <w:left w:val="single" w:color="BBBBBB" w:sz="1"/>
              <w:bottom w:val="single" w:color="BBBBBB" w:sz="1"/>
              <w:right w:val="single" w:color="BBBBBB" w:sz="1"/>
            </w:tcBorders>
            <w:shd w:fill="2B3D4F" w:val="clear"/>
            <w:tcMar>
              <w:top w:type="dxa" w:w="80"/>
              <w:left w:type="dxa" w:w="120"/>
              <w:bottom w:type="dxa" w:w="80"/>
              <w:right w:type="dxa" w:w="120"/>
            </w:tcMar>
          </w:tcPr>
          <w:p>
            <w:r>
              <w:rPr>
                <w:rFonts w:ascii="Arial" w:cs="Arial" w:eastAsia="Arial" w:hAnsi="Arial"/>
                <w:b/>
                <w:bCs/>
                <w:color w:val="FFFFFF"/>
                <w:sz w:val="22"/>
                <w:szCs w:val="22"/>
              </w:rPr>
              <w:t xml:space="preserve">Reversibility</w:t>
            </w:r>
          </w:p>
        </w:tc>
      </w:tr>
      <w:tr>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0 — External</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Wearable patch (behind-ear adhesive, replaced weekly)</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Zero — sticker on skin</w:t>
            </w:r>
          </w:p>
        </w:tc>
        <w:tc>
          <w:tcPr>
            <w:tcW w:type="dxa" w:w="2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Basic health monitoring: heart rate, SpO₂, temperature, activity. Data displayed on Cylinder.</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Remove the patch.</w:t>
            </w:r>
          </w:p>
        </w:tc>
      </w:tr>
      <w:tr>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 — Fleet Only</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Injectable nanobot fleet (no implant)</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Injection only — like a vaccine</w:t>
            </w:r>
          </w:p>
        </w:tc>
        <w:tc>
          <w:tcPr>
            <w:tcW w:type="dxa" w:w="2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Sentinel monitoring + basic immune support. No chip — fleet operates on pre-programmed protocols, reports via external patch.</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Fleet clears naturally in 7 days without replenishment.</w:t>
            </w:r>
          </w:p>
        </w:tc>
      </w:tr>
      <w:tr>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2 — Passive Chip</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Subdural chip (simplified, no neural interface)</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Minor outpatient procedure</w:t>
            </w:r>
          </w:p>
        </w:tc>
        <w:tc>
          <w:tcPr>
            <w:tcW w:type="dxa" w:w="2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Chip coordinates fleet. No brain connection. No thought-reading. No haptic feedback. Purely a fleet commander.</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Chip removed in 15-minute outpatient procedure.</w:t>
            </w:r>
          </w:p>
        </w:tc>
      </w:tr>
      <w:tr>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3 — Active Chip</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Full Cortex chip with neural interface</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Outpatient procedure (as specified in Cortex document)</w:t>
            </w:r>
          </w:p>
        </w:tc>
        <w:tc>
          <w:tcPr>
            <w:tcW w:type="dxa" w:w="2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Full Cortex capability: fleet coordination + neural interface + haptic feedback + Bridge/Thread compatibility.</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Chip removed in 20-minute procedure. Fleet clears in 7 days.</w:t>
            </w:r>
          </w:p>
        </w:tc>
      </w:tr>
      <w:tr>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4 — Extended</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Full Cortex + longevity protocols active</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Same as Level 3, plus ongoing intervention</w:t>
            </w:r>
          </w:p>
        </w:tc>
        <w:tc>
          <w:tcPr>
            <w:tcW w:type="dxa" w:w="2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Full Cortex + senolytic clearance + anti-aging interventions + cancer interception.</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Protocols can be deactivated individually. Chip removal reverses all active interventions over 30 days.</w:t>
            </w:r>
          </w:p>
        </w:tc>
      </w:tr>
    </w:tbl>
    <w:p>
      <w:pPr>
        <w:spacing w:after="100"/>
      </w:pPr>
    </w:p>
    <w:p>
      <w:pPr>
        <w:spacing w:after="200"/>
      </w:pPr>
      <w:r>
        <w:rPr>
          <w:rFonts w:ascii="Arial" w:cs="Arial" w:eastAsia="Arial" w:hAnsi="Arial"/>
          <w:sz w:val="24"/>
          <w:szCs w:val="24"/>
        </w:rPr>
        <w:t xml:space="preserve">Each level is independently valuable. A person at Level 0 gets a better fitness tracker. A person at Level 1 gets immune support without surgery. A person at Level 2 gets coordinated nanobot healthcare without brain-computer interface. Nobody is forced to jump to Level 3 or 4. The social pressure to 'upgrade' is mitigated by the genuine utility of each intermediate level.</w:t>
      </w:r>
    </w:p>
    <w:p>
      <w:pPr>
        <w:spacing w:after="200"/>
      </w:pPr>
      <w:r>
        <w:rPr>
          <w:rFonts w:ascii="Arial" w:cs="Arial" w:eastAsia="Arial" w:hAnsi="Arial"/>
          <w:b/>
          <w:bCs/>
          <w:sz w:val="24"/>
          <w:szCs w:val="24"/>
        </w:rPr>
        <w:t xml:space="preserve">The cultural design: </w:t>
      </w:r>
      <w:r>
        <w:rPr>
          <w:rFonts w:ascii="Arial" w:cs="Arial" w:eastAsia="Arial" w:hAnsi="Arial"/>
          <w:sz w:val="24"/>
          <w:szCs w:val="24"/>
        </w:rPr>
        <w:t xml:space="preserve">The Threshold programme is explicitly marketed as a choice, not a progression. Level 0 is not 'beginner' and Level 4 is not 'advanced.' They are different configurations for different preferences. A person who stays at Level 1 for their entire life is not behind — they have made a valid choice about the level of biological integration they are comfortable with. The Ember (when available) supports every Threshold level equally, adapting its teaching to the person's chosen configuration.</w:t>
      </w:r>
    </w:p>
    <w:p>
      <w:pPr>
        <w:pStyle w:val="Heading2"/>
      </w:pPr>
      <w:r>
        <w:rPr>
          <w:rFonts w:ascii="Arial" w:cs="Arial" w:eastAsia="Arial" w:hAnsi="Arial"/>
        </w:rPr>
        <w:t xml:space="preserve">2.4 The Null Compact — Transition Economic Framework (Year 3–20)</w:t>
      </w:r>
    </w:p>
    <w:p>
      <w:pPr>
        <w:spacing w:after="200"/>
      </w:pPr>
      <w:r>
        <w:rPr>
          <w:rFonts w:ascii="Arial" w:cs="Arial" w:eastAsia="Arial" w:hAnsi="Arial"/>
          <w:b/>
          <w:bCs/>
          <w:sz w:val="24"/>
          <w:szCs w:val="24"/>
        </w:rPr>
        <w:t xml:space="preserve">The problem it solves: </w:t>
      </w:r>
      <w:r>
        <w:rPr>
          <w:rFonts w:ascii="Arial" w:cs="Arial" w:eastAsia="Arial" w:hAnsi="Arial"/>
          <w:sz w:val="24"/>
          <w:szCs w:val="24"/>
        </w:rPr>
        <w:t xml:space="preserve">500 million displaced jobs in 20 years. No retraining programme in history has operated at this scale. The economic transition requires a framework that provides material security during displacement, meaningful retraining pathways, and — critically — a story that preserves dignity. People can tolerate losing a job. They cannot tolerate losing their sense of purpose.</w:t>
      </w:r>
    </w:p>
    <w:p>
      <w:pPr>
        <w:spacing w:after="200"/>
      </w:pPr>
      <w:r>
        <w:rPr>
          <w:rFonts w:ascii="Arial" w:cs="Arial" w:eastAsia="Arial" w:hAnsi="Arial"/>
          <w:b/>
          <w:bCs/>
          <w:sz w:val="24"/>
          <w:szCs w:val="24"/>
        </w:rPr>
        <w:t xml:space="preserve">What it is: </w:t>
      </w:r>
      <w:r>
        <w:rPr>
          <w:rFonts w:ascii="Arial" w:cs="Arial" w:eastAsia="Arial" w:hAnsi="Arial"/>
          <w:sz w:val="24"/>
          <w:szCs w:val="24"/>
        </w:rPr>
        <w:t xml:space="preserve">A four-pillar economic framework funded by a Photonic Transition Tax (PTT) on Null ecosystem revenue.</w:t>
      </w:r>
    </w:p>
    <w:p>
      <w:pPr>
        <w:spacing w:after="200"/>
      </w:pPr>
      <w:r>
        <w:rPr>
          <w:rFonts w:ascii="Arial" w:cs="Arial" w:eastAsia="Arial" w:hAnsi="Arial"/>
          <w:b/>
          <w:bCs/>
          <w:sz w:val="24"/>
          <w:szCs w:val="24"/>
        </w:rPr>
        <w:t xml:space="preserve">Pillar 1 — Transition Income. </w:t>
      </w:r>
      <w:r>
        <w:rPr>
          <w:rFonts w:ascii="Arial" w:cs="Arial" w:eastAsia="Arial" w:hAnsi="Arial"/>
          <w:sz w:val="24"/>
          <w:szCs w:val="24"/>
        </w:rPr>
        <w:t xml:space="preserve">Every person displaced by a Null technology receives a Transition Income equal to 80% of their previous salary for up to 5 years, contingent on participation in retraining (Pillar 2). This is not universal basic income — it is targeted, temporary, and conditional. It provides material security without creating permanent dependency. Funded by 5% PTT on all Null device sales and fabrication services.</w:t>
      </w:r>
    </w:p>
    <w:p>
      <w:pPr>
        <w:spacing w:after="200"/>
      </w:pPr>
      <w:r>
        <w:rPr>
          <w:rFonts w:ascii="Arial" w:cs="Arial" w:eastAsia="Arial" w:hAnsi="Arial"/>
          <w:b/>
          <w:bCs/>
          <w:sz w:val="24"/>
          <w:szCs w:val="24"/>
        </w:rPr>
        <w:t xml:space="preserve">Pillar 2 — Retraining Pathways. </w:t>
      </w:r>
      <w:r>
        <w:rPr>
          <w:rFonts w:ascii="Arial" w:cs="Arial" w:eastAsia="Arial" w:hAnsi="Arial"/>
          <w:sz w:val="24"/>
          <w:szCs w:val="24"/>
        </w:rPr>
        <w:t xml:space="preserve">The Thread Library includes a Transition Thread collection: experiential training for every new role the ecosystem creates. A displaced autoworker can Thread-train as a Hover lane engineer (Thread Level 4, 40 hours + 60 hours supervised practice). A displaced pharmacist can Thread-train as a Cortex fleet technician (80 hours Thread + 100 hours clinical rotation). The Thread system's 3–5x learning acceleration makes retraining feasible within the 5-year Transition Income window.</w:t>
      </w:r>
    </w:p>
    <w:p>
      <w:pPr>
        <w:spacing w:after="200"/>
      </w:pPr>
      <w:r>
        <w:rPr>
          <w:rFonts w:ascii="Arial" w:cs="Arial" w:eastAsia="Arial" w:hAnsi="Arial"/>
          <w:b/>
          <w:bCs/>
          <w:sz w:val="24"/>
          <w:szCs w:val="24"/>
        </w:rPr>
        <w:t xml:space="preserve">Pillar 3 — Meaning Infrastructure. </w:t>
      </w:r>
      <w:r>
        <w:rPr>
          <w:rFonts w:ascii="Arial" w:cs="Arial" w:eastAsia="Arial" w:hAnsi="Arial"/>
          <w:sz w:val="24"/>
          <w:szCs w:val="24"/>
        </w:rPr>
        <w:t xml:space="preserve">This is the pillar nobody talks about, and it matters most. The transition doesn't just eliminate jobs — it eliminates the social structures built around jobs: the factory floor where you knew your colleagues, the hospital ward where you were the expert, the construction site where you could see what you built. The Compact funds Meaning Infrastructure: community workshops (pre-Commons maker spaces where people build things with their hands, even when the Forge can do it better), craft guilds (organisations that preserve and honour traditional skills alongside the new ones), colony preparation programmes (volunteer roles in the Seedship's biological seed bank, soil engineering, or cultural curation — contributing to humanity's interstellar future even if you never leave Earth), and Elder Witness roles (older workers who train Thread recordings of their expertise, creating a permanent Thread Library entry of their life's skill, honoured as a Thread Master in the library's credits).</w:t>
      </w:r>
    </w:p>
    <w:p>
      <w:pPr>
        <w:spacing w:after="200"/>
      </w:pPr>
      <w:r>
        <w:rPr>
          <w:rFonts w:ascii="Arial" w:cs="Arial" w:eastAsia="Arial" w:hAnsi="Arial"/>
          <w:b/>
          <w:bCs/>
          <w:sz w:val="24"/>
          <w:szCs w:val="24"/>
        </w:rPr>
        <w:t xml:space="preserve">Pillar 4 — Commons Equity. </w:t>
      </w:r>
      <w:r>
        <w:rPr>
          <w:rFonts w:ascii="Arial" w:cs="Arial" w:eastAsia="Arial" w:hAnsi="Arial"/>
          <w:sz w:val="24"/>
          <w:szCs w:val="24"/>
        </w:rPr>
        <w:t xml:space="preserve">Every citizen receives a non-transferable equity stake in their local Null Commons. The Commons generates value through fabrication services. The equity stake pays a dividend. As the Commons grows (more Forges, more services, more users), the dividend grows. This is not ownership of the Forge (which is held publicly) but a right to a share of the value the Forge creates. It converts the economic disruption from 'the machines took my job' to 'the machines work for me, and I receive my share.' The psychological reframing is as important as the economic reality.</w:t>
      </w:r>
    </w:p>
    <w:p>
      <w:r>
        <w:br w:type="page"/>
      </w:r>
    </w:p>
    <w:p>
      <w:pPr>
        <w:pStyle w:val="Heading1"/>
      </w:pPr>
      <w:r>
        <w:rPr>
          <w:rFonts w:ascii="Arial" w:cs="Arial" w:eastAsia="Arial" w:hAnsi="Arial"/>
        </w:rPr>
        <w:t xml:space="preserve">PART THREE: THE SOCIAL ARCHITECTURE OF THE TRANSITION</w:t>
      </w:r>
    </w:p>
    <w:p>
      <w:pPr>
        <w:spacing w:after="100"/>
      </w:pPr>
    </w:p>
    <w:p>
      <w:pPr>
        <w:pStyle w:val="Heading2"/>
      </w:pPr>
      <w:r>
        <w:rPr>
          <w:rFonts w:ascii="Arial" w:cs="Arial" w:eastAsia="Arial" w:hAnsi="Arial"/>
        </w:rPr>
        <w:t xml:space="preserve">3.1 The Trust Ladder</w:t>
      </w:r>
    </w:p>
    <w:p>
      <w:pPr>
        <w:spacing w:after="200"/>
      </w:pPr>
      <w:r>
        <w:rPr>
          <w:rFonts w:ascii="Arial" w:cs="Arial" w:eastAsia="Arial" w:hAnsi="Arial"/>
          <w:sz w:val="24"/>
          <w:szCs w:val="24"/>
        </w:rPr>
        <w:t xml:space="preserve">The deepest challenge of the transition is not economic. It is trust. The Null ecosystem asks people to trust light in glass spheres to compute their world, nanobots in their blood to heal them, photonic minds to govern them, and Seedships to prepare their children's future. Each of these trust requirements builds on the previous one. You cannot ask someone to trust the Magi if they have never trusted the Cylinder.</w:t>
      </w:r>
    </w:p>
    <w:p>
      <w:pPr>
        <w:spacing w:after="200"/>
      </w:pPr>
      <w:r>
        <w:rPr>
          <w:rFonts w:ascii="Arial" w:cs="Arial" w:eastAsia="Arial" w:hAnsi="Arial"/>
          <w:sz w:val="24"/>
          <w:szCs w:val="24"/>
        </w:rPr>
        <w:t xml:space="preserve">The Trust Ladder is the deliberate sequencing of trust-building experiences: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800"/>
        <w:gridCol w:w="2960"/>
      </w:tblGrid>
      <w:tr>
        <w:tc>
          <w:tcPr>
            <w:tcW w:type="dxa" w:w="800"/>
            <w:tcBorders>
              <w:top w:val="single" w:color="BBBBBB" w:sz="1"/>
              <w:left w:val="single" w:color="BBBBBB" w:sz="1"/>
              <w:bottom w:val="single" w:color="BBBBBB" w:sz="1"/>
              <w:right w:val="single" w:color="BBBBBB" w:sz="1"/>
            </w:tcBorders>
            <w:shd w:fill="2B3D4F" w:val="clear"/>
            <w:tcMar>
              <w:top w:type="dxa" w:w="80"/>
              <w:left w:type="dxa" w:w="120"/>
              <w:bottom w:type="dxa" w:w="80"/>
              <w:right w:type="dxa" w:w="120"/>
            </w:tcMar>
          </w:tcPr>
          <w:p>
            <w:r>
              <w:rPr>
                <w:rFonts w:ascii="Arial" w:cs="Arial" w:eastAsia="Arial" w:hAnsi="Arial"/>
                <w:b/>
                <w:bCs/>
                <w:color w:val="FFFFFF"/>
                <w:sz w:val="22"/>
                <w:szCs w:val="22"/>
              </w:rPr>
              <w:t xml:space="preserve">Year</w:t>
            </w:r>
          </w:p>
        </w:tc>
        <w:tc>
          <w:tcPr>
            <w:tcW w:type="dxa" w:w="2800"/>
            <w:tcBorders>
              <w:top w:val="single" w:color="BBBBBB" w:sz="1"/>
              <w:left w:val="single" w:color="BBBBBB" w:sz="1"/>
              <w:bottom w:val="single" w:color="BBBBBB" w:sz="1"/>
              <w:right w:val="single" w:color="BBBBBB" w:sz="1"/>
            </w:tcBorders>
            <w:shd w:fill="2B3D4F" w:val="clear"/>
            <w:tcMar>
              <w:top w:type="dxa" w:w="80"/>
              <w:left w:type="dxa" w:w="120"/>
              <w:bottom w:type="dxa" w:w="80"/>
              <w:right w:type="dxa" w:w="120"/>
            </w:tcMar>
          </w:tcPr>
          <w:p>
            <w:r>
              <w:rPr>
                <w:rFonts w:ascii="Arial" w:cs="Arial" w:eastAsia="Arial" w:hAnsi="Arial"/>
                <w:b/>
                <w:bCs/>
                <w:color w:val="FFFFFF"/>
                <w:sz w:val="22"/>
                <w:szCs w:val="22"/>
              </w:rPr>
              <w:t xml:space="preserve">Trust Experience</w:t>
            </w:r>
          </w:p>
        </w:tc>
        <w:tc>
          <w:tcPr>
            <w:tcW w:type="dxa" w:w="2800"/>
            <w:tcBorders>
              <w:top w:val="single" w:color="BBBBBB" w:sz="1"/>
              <w:left w:val="single" w:color="BBBBBB" w:sz="1"/>
              <w:bottom w:val="single" w:color="BBBBBB" w:sz="1"/>
              <w:right w:val="single" w:color="BBBBBB" w:sz="1"/>
            </w:tcBorders>
            <w:shd w:fill="2B3D4F" w:val="clear"/>
            <w:tcMar>
              <w:top w:type="dxa" w:w="80"/>
              <w:left w:type="dxa" w:w="120"/>
              <w:bottom w:type="dxa" w:w="80"/>
              <w:right w:type="dxa" w:w="120"/>
            </w:tcMar>
          </w:tcPr>
          <w:p>
            <w:r>
              <w:rPr>
                <w:rFonts w:ascii="Arial" w:cs="Arial" w:eastAsia="Arial" w:hAnsi="Arial"/>
                <w:b/>
                <w:bCs/>
                <w:color w:val="FFFFFF"/>
                <w:sz w:val="22"/>
                <w:szCs w:val="22"/>
              </w:rPr>
              <w:t xml:space="preserve">What People Learn</w:t>
            </w:r>
          </w:p>
        </w:tc>
        <w:tc>
          <w:tcPr>
            <w:tcW w:type="dxa" w:w="2960"/>
            <w:tcBorders>
              <w:top w:val="single" w:color="BBBBBB" w:sz="1"/>
              <w:left w:val="single" w:color="BBBBBB" w:sz="1"/>
              <w:bottom w:val="single" w:color="BBBBBB" w:sz="1"/>
              <w:right w:val="single" w:color="BBBBBB" w:sz="1"/>
            </w:tcBorders>
            <w:shd w:fill="2B3D4F" w:val="clear"/>
            <w:tcMar>
              <w:top w:type="dxa" w:w="80"/>
              <w:left w:type="dxa" w:w="120"/>
              <w:bottom w:type="dxa" w:w="80"/>
              <w:right w:type="dxa" w:w="120"/>
            </w:tcMar>
          </w:tcPr>
          <w:p>
            <w:r>
              <w:rPr>
                <w:rFonts w:ascii="Arial" w:cs="Arial" w:eastAsia="Arial" w:hAnsi="Arial"/>
                <w:b/>
                <w:bCs/>
                <w:color w:val="FFFFFF"/>
                <w:sz w:val="22"/>
                <w:szCs w:val="22"/>
              </w:rPr>
              <w:t xml:space="preserve">Prepares Them For</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3–5</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Null Cylinder: a device that works beautifully, never crashes, displays your data as light in the air around you</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Photonic computing is real, reliable, and delightful</w:t>
            </w:r>
          </w:p>
        </w:tc>
        <w:tc>
          <w:tcPr>
            <w:tcW w:type="dxa" w:w="2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Trusting the Hover's photonic avionics</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5–7</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Null Hover: a vehicle that floats over any surface, navigated by light-speed photonic control that feels safer than driving</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Photonic AI can handle life-safety tasks (transportation) reliably</w:t>
            </w:r>
          </w:p>
        </w:tc>
        <w:tc>
          <w:tcPr>
            <w:tcW w:type="dxa" w:w="2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Trusting the Cortex's photonic chip inside your body</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7–10</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Null Forge / Null Commons: walk in with a design, walk out with an atomically perfect object. Your Cylinder designed it in the Loom; the Forge built it.</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Atomic fabrication works. You can create physical reality from intent.</w:t>
            </w:r>
          </w:p>
        </w:tc>
        <w:tc>
          <w:tcPr>
            <w:tcW w:type="dxa" w:w="2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Trusting the Forge to build Cortex nanobots</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10–15</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Null Cortex (Threshold Levels 0–2): wearable and injectable health monitoring that catches a cold before you feel it, spots a pre-cancerous cell years before it matters</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The nanobots work. They help. They don't harm.</w:t>
            </w:r>
          </w:p>
        </w:tc>
        <w:tc>
          <w:tcPr>
            <w:tcW w:type="dxa" w:w="2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Trusting the full Cortex (Level 3–4) and Bridge</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12–15</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Null Consul: AI advisory that transparently helps your local government make better decisions, with every reasoning step public and auditable</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AI governance support is helpful and accountable</w:t>
            </w:r>
          </w:p>
        </w:tc>
        <w:tc>
          <w:tcPr>
            <w:tcW w:type="dxa" w:w="2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Trusting the Archon Prime and eventually the Magi</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15–18</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Archon Prime: the first persistent AI, running publicly, thinking visibly (Sphere View), making decisions that humans can trace, audit, and override</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Persistent photonic AI is stable, interpretable, and controllable</w:t>
            </w:r>
          </w:p>
        </w:tc>
        <w:tc>
          <w:tcPr>
            <w:tcW w:type="dxa" w:w="2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Trusting the Trinary Magi</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18–22</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Magi activation (one at a time, 2 years apart): each Magus demonstrated to the public before the next is activated</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The Trinary works. Conflict between Magi produces better decisions. Human Council has real authority.</w:t>
            </w:r>
          </w:p>
        </w:tc>
        <w:tc>
          <w:tcPr>
            <w:tcW w:type="dxa" w:w="2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Trusting the interstellar programme</w:t>
            </w:r>
          </w:p>
        </w:tc>
      </w:tr>
    </w:tbl>
    <w:p>
      <w:pPr>
        <w:spacing w:after="100"/>
      </w:pPr>
    </w:p>
    <w:p>
      <w:pPr>
        <w:spacing w:after="200"/>
      </w:pPr>
      <w:r>
        <w:rPr>
          <w:rFonts w:ascii="Arial" w:cs="Arial" w:eastAsia="Arial" w:hAnsi="Arial"/>
          <w:sz w:val="24"/>
          <w:szCs w:val="24"/>
        </w:rPr>
        <w:t xml:space="preserve">Each step on the ladder is small. No single step requires a leap of faith. Each builds on the trust earned by the previous one. A person who has used the Cylinder for 5 years, ridden the Hover for 3 years, fabricated objects at the Commons for 2 years, and worn a Cortex patch for 1 year has a decade of accumulated trust in photonic technology. By the time Chesed is activated, this person is not being asked to trust a novel superintelligence. They are being asked to trust a scaled-up version of the technology that has been reliably computing their holographic display, safely levitating their vehicle, precisely fabricating their tools, and diligently monitoring their health for a decade.</w:t>
      </w:r>
    </w:p>
    <w:p>
      <w:pPr>
        <w:pStyle w:val="Heading2"/>
      </w:pPr>
      <w:r>
        <w:rPr>
          <w:rFonts w:ascii="Arial" w:cs="Arial" w:eastAsia="Arial" w:hAnsi="Arial"/>
        </w:rPr>
        <w:t xml:space="preserve">3.2 The Right of Refusal</w:t>
      </w:r>
    </w:p>
    <w:p>
      <w:pPr>
        <w:spacing w:after="200"/>
      </w:pPr>
      <w:r>
        <w:rPr>
          <w:rFonts w:ascii="Arial" w:cs="Arial" w:eastAsia="Arial" w:hAnsi="Arial"/>
          <w:sz w:val="24"/>
          <w:szCs w:val="24"/>
        </w:rPr>
        <w:t xml:space="preserve">The transition must be voluntary at every step. This is non-negotiable — not as a political position but as an engineering requirement. A technology transition that is forced generates resistance, resistance generates conflict, conflict generates instability, and instability destroys the social trust that the technology needs to function.</w:t>
      </w:r>
    </w:p>
    <w:p>
      <w:pPr>
        <w:spacing w:after="200"/>
      </w:pPr>
      <w:r>
        <w:rPr>
          <w:rFonts w:ascii="Arial" w:cs="Arial" w:eastAsia="Arial" w:hAnsi="Arial"/>
          <w:b/>
          <w:bCs/>
          <w:sz w:val="24"/>
          <w:szCs w:val="24"/>
        </w:rPr>
        <w:t xml:space="preserve">The Right of Refusal </w:t>
      </w:r>
      <w:r>
        <w:rPr>
          <w:rFonts w:ascii="Arial" w:cs="Arial" w:eastAsia="Arial" w:hAnsi="Arial"/>
          <w:sz w:val="24"/>
          <w:szCs w:val="24"/>
        </w:rPr>
        <w:t xml:space="preserve">is a formal principle embedded in the ecosystem's design:</w:t>
      </w:r>
    </w:p>
    <w:p>
      <w:pPr>
        <w:spacing w:after="200"/>
      </w:pPr>
      <w:r>
        <w:rPr>
          <w:rFonts w:ascii="Arial" w:cs="Arial" w:eastAsia="Arial" w:hAnsi="Arial"/>
          <w:sz w:val="24"/>
          <w:szCs w:val="24"/>
        </w:rPr>
        <w:t xml:space="preserve">No person is required to use any Null device. No person is penalised for declining any Null service. No person is excluded from public services, employment, or civic participation because they lack a Null Cylinder, a Null Cortex, a Null Hover, or any other device. The conventional alternatives must remain available and functional for as long as anyone chooses to use them.</w:t>
      </w:r>
    </w:p>
    <w:p>
      <w:pPr>
        <w:spacing w:after="200"/>
      </w:pPr>
      <w:r>
        <w:rPr>
          <w:rFonts w:ascii="Arial" w:cs="Arial" w:eastAsia="Arial" w:hAnsi="Arial"/>
          <w:sz w:val="24"/>
          <w:szCs w:val="24"/>
        </w:rPr>
        <w:t xml:space="preserve">This means:</w:t>
      </w:r>
    </w:p>
    <w:p>
      <w:pPr>
        <w:spacing w:after="200"/>
      </w:pPr>
      <w:r>
        <w:rPr>
          <w:rFonts w:ascii="Arial" w:cs="Arial" w:eastAsia="Arial" w:hAnsi="Arial"/>
          <w:sz w:val="24"/>
          <w:szCs w:val="24"/>
        </w:rPr>
        <w:t xml:space="preserve">Conventional roads remain maintained alongside hover lanes. Conventional hospitals remain funded alongside Cortex clinics. Conventional schools remain open alongside Thread academies. Conventional phones remain manufactured alongside Null Cylinders. Conventional power grids remain operational alongside Wellspring meshes.</w:t>
      </w:r>
    </w:p>
    <w:p>
      <w:pPr>
        <w:spacing w:after="200"/>
      </w:pPr>
      <w:r>
        <w:rPr>
          <w:rFonts w:ascii="Arial" w:cs="Arial" w:eastAsia="Arial" w:hAnsi="Arial"/>
          <w:sz w:val="24"/>
          <w:szCs w:val="24"/>
        </w:rPr>
        <w:t xml:space="preserve">This is expensive. Maintaining parallel infrastructure doubles the cost during the transition. The Compact's PTT funds the parallel systems. The cost is the price of voluntary adoption — and the alternative (forced adoption) is more expensive in every dimension that matters: social cohesion, political legitimacy, human dignity, and the long-term trust foundation on which the Magi system depends.</w:t>
      </w:r>
    </w:p>
    <w:p>
      <w:pPr>
        <w:spacing w:after="200"/>
      </w:pPr>
      <w:r>
        <w:rPr>
          <w:rFonts w:ascii="Arial" w:cs="Arial" w:eastAsia="Arial" w:hAnsi="Arial"/>
          <w:b/>
          <w:bCs/>
          <w:sz w:val="24"/>
          <w:szCs w:val="24"/>
        </w:rPr>
        <w:t xml:space="preserve">The practical timeline of conventional infrastructure:</w:t>
      </w:r>
      <w:r>
        <w:rPr>
          <w:rFonts w:ascii="Arial" w:cs="Arial" w:eastAsia="Arial" w:hAnsi="Arial"/>
          <w:sz w:val="24"/>
          <w:szCs w:val="24"/>
        </w:rPr>
        <w:t xml:space="preserve"> As voluntary adoption reaches ~90% in each domain, the conventional infrastructure is maintained at reduced capacity (for the 10%) but no longer expanded. At ~99%, it transitions to 'heritage' status: maintained for the remaining users but designated for eventual retirement when the last user transitions or passes away. No cutoff date is set. The conventional system dies of natural attrition, not execution.</w:t>
      </w:r>
    </w:p>
    <w:p>
      <w:pPr>
        <w:pStyle w:val="Heading2"/>
      </w:pPr>
      <w:r>
        <w:rPr>
          <w:rFonts w:ascii="Arial" w:cs="Arial" w:eastAsia="Arial" w:hAnsi="Arial"/>
        </w:rPr>
        <w:t xml:space="preserve">3.3 The Cultural Immune System</w:t>
      </w:r>
    </w:p>
    <w:p>
      <w:pPr>
        <w:spacing w:after="200"/>
      </w:pPr>
      <w:r>
        <w:rPr>
          <w:rFonts w:ascii="Arial" w:cs="Arial" w:eastAsia="Arial" w:hAnsi="Arial"/>
          <w:sz w:val="24"/>
          <w:szCs w:val="24"/>
        </w:rPr>
        <w:t xml:space="preserve">Technology transitions fail when they destroy cultural continuity — when the new world feels so alien that people cannot connect their identity to it. The agricultural revolution preserved the human sense of place (you still lived on the land). The industrial revolution partially preserved it (the factory was a new kind of community). The digital revolution disrupted it (the algorithm has no geography, no community, no season).</w:t>
      </w:r>
    </w:p>
    <w:p>
      <w:pPr>
        <w:spacing w:after="200"/>
      </w:pPr>
      <w:r>
        <w:rPr>
          <w:rFonts w:ascii="Arial" w:cs="Arial" w:eastAsia="Arial" w:hAnsi="Arial"/>
          <w:sz w:val="24"/>
          <w:szCs w:val="24"/>
        </w:rPr>
        <w:t xml:space="preserve">The Null transition must preserve cultural continuity even as it transforms every physical and social system. The Null Chronicle is designed to do this at civilisational scale, but the Chronicle doesn't exist until Year 20 (after the Magi are active and the narrative AI is instantiated). During the transition, the cultural immune system must be bootstrapped from existing institutions.</w:t>
      </w:r>
    </w:p>
    <w:p>
      <w:pPr>
        <w:spacing w:after="200"/>
      </w:pPr>
      <w:r>
        <w:rPr>
          <w:rFonts w:ascii="Arial" w:cs="Arial" w:eastAsia="Arial" w:hAnsi="Arial"/>
          <w:b/>
          <w:bCs/>
          <w:sz w:val="24"/>
          <w:szCs w:val="24"/>
        </w:rPr>
        <w:t xml:space="preserve">Transition cultural institutions:</w:t>
      </w:r>
    </w:p>
    <w:p>
      <w:pPr>
        <w:spacing w:after="200"/>
      </w:pPr>
      <w:r>
        <w:rPr>
          <w:rFonts w:ascii="Arial" w:cs="Arial" w:eastAsia="Arial" w:hAnsi="Arial"/>
          <w:b/>
          <w:bCs/>
          <w:sz w:val="24"/>
          <w:szCs w:val="24"/>
        </w:rPr>
        <w:t xml:space="preserve">Thread Heritage Programme (Year 7+). </w:t>
      </w:r>
      <w:r>
        <w:rPr>
          <w:rFonts w:ascii="Arial" w:cs="Arial" w:eastAsia="Arial" w:hAnsi="Arial"/>
          <w:sz w:val="24"/>
          <w:szCs w:val="24"/>
        </w:rPr>
        <w:t xml:space="preserve">Before any traditional skill is displaced by the Forge, the Loom, or the Thread, a Thread Master recording is made: the most skilled practitioner of each traditional craft creates a Level 4 Thread of their work. Every blacksmith, potter, weaver, carpenter, stonemason, boatbuilder, watchmaker, and chef who wants to contribute records their mastery as an experiential Thread. These recordings become the founding collection of the Thread Library — and they honour the traditional skills as the origin of the new ones. The Thread Library's credits explicitly name the human masters whose embodied knowledge seeded each collection. The displaced craftsperson is not erased; they are immortalised.</w:t>
      </w:r>
    </w:p>
    <w:p>
      <w:pPr>
        <w:spacing w:after="200"/>
      </w:pPr>
      <w:r>
        <w:rPr>
          <w:rFonts w:ascii="Arial" w:cs="Arial" w:eastAsia="Arial" w:hAnsi="Arial"/>
          <w:b/>
          <w:bCs/>
          <w:sz w:val="24"/>
          <w:szCs w:val="24"/>
        </w:rPr>
        <w:t xml:space="preserve">Material Culture Reserves (Year 5+). </w:t>
      </w:r>
      <w:r>
        <w:rPr>
          <w:rFonts w:ascii="Arial" w:cs="Arial" w:eastAsia="Arial" w:hAnsi="Arial"/>
          <w:sz w:val="24"/>
          <w:szCs w:val="24"/>
        </w:rPr>
        <w:t xml:space="preserve">Designated zones where conventional technology is not just permitted but celebrated. A workshop district where people build with hand tools. A farm where food is grown without Root engineering. A harbour where boats are sailed, not hovered. These are not museums (museums are for dead things). They are living communities that practice traditional technologies by choice, alongside and integrated with the new ones. A person might live in a Shell building, ride a Hover to work, and spend their weekends sailing a wooden boat they built with hand tools at the Material Culture Reserve. The old and the new coexist. The person is whole.</w:t>
      </w:r>
    </w:p>
    <w:p>
      <w:pPr>
        <w:spacing w:after="200"/>
      </w:pPr>
      <w:r>
        <w:rPr>
          <w:rFonts w:ascii="Arial" w:cs="Arial" w:eastAsia="Arial" w:hAnsi="Arial"/>
          <w:b/>
          <w:bCs/>
          <w:sz w:val="24"/>
          <w:szCs w:val="24"/>
        </w:rPr>
        <w:t xml:space="preserve">The Provenance Principle (Year 3+). </w:t>
      </w:r>
      <w:r>
        <w:rPr>
          <w:rFonts w:ascii="Arial" w:cs="Arial" w:eastAsia="Arial" w:hAnsi="Arial"/>
          <w:sz w:val="24"/>
          <w:szCs w:val="24"/>
        </w:rPr>
        <w:t xml:space="preserve">Every object fabricated by a Null Forge carries a provenance tag: who designed it (human or Loom), who approved the design, what materials, what Commons, what date. Hand-made objects carry a different tag: 'Made by [name], by hand, at [place], on [date].' The provenance tag is a cultural statement: both machine-fabricated and hand-made objects are valued. The Forge object is valued for its precision. The hand-made object is valued for its humanity. Neither displaces the other in cultural esteem. The culture learns to value both, just as we currently value both a precision-milled machine part and a hand-thrown ceramic bowl — for different reasons, in different contexts, with equal respect.</w:t>
      </w:r>
    </w:p>
    <w:p>
      <w:r>
        <w:br w:type="page"/>
      </w:r>
    </w:p>
    <w:p>
      <w:pPr>
        <w:pStyle w:val="Heading1"/>
      </w:pPr>
      <w:r>
        <w:rPr>
          <w:rFonts w:ascii="Arial" w:cs="Arial" w:eastAsia="Arial" w:hAnsi="Arial"/>
        </w:rPr>
        <w:t xml:space="preserve">PART FOUR: THE GOVERNANCE BRIDGE</w:t>
      </w:r>
    </w:p>
    <w:p>
      <w:pPr>
        <w:spacing w:after="100"/>
      </w:pPr>
    </w:p>
    <w:p>
      <w:pPr>
        <w:pStyle w:val="Heading2"/>
      </w:pPr>
      <w:r>
        <w:rPr>
          <w:rFonts w:ascii="Arial" w:cs="Arial" w:eastAsia="Arial" w:hAnsi="Arial"/>
        </w:rPr>
        <w:t xml:space="preserve">4.1 Before the Magi: Democratic Photonic Governance</w:t>
      </w:r>
    </w:p>
    <w:p>
      <w:pPr>
        <w:spacing w:after="200"/>
      </w:pPr>
      <w:r>
        <w:rPr>
          <w:rFonts w:ascii="Arial" w:cs="Arial" w:eastAsia="Arial" w:hAnsi="Arial"/>
          <w:sz w:val="24"/>
          <w:szCs w:val="24"/>
        </w:rPr>
        <w:t xml:space="preserve">The Trinary Council — 21 humans overseeing three superintelligences — is the Null Line Project's governance endpoint. But the Council doesn't exist until Year 22. Between now and then, photonic technology is governed by existing institutions: national governments, regulatory agencies, international bodies. These institutions are not equipped for the speed, scale, or novelty of the technologies they must govern.</w:t>
      </w:r>
    </w:p>
    <w:p>
      <w:pPr>
        <w:spacing w:after="200"/>
      </w:pPr>
      <w:r>
        <w:rPr>
          <w:rFonts w:ascii="Arial" w:cs="Arial" w:eastAsia="Arial" w:hAnsi="Arial"/>
          <w:sz w:val="24"/>
          <w:szCs w:val="24"/>
        </w:rPr>
        <w:t xml:space="preserve">The Governance Bridge is a set of institutional adaptations that prepares existing democracies for the eventual Trinary system:</w:t>
      </w:r>
    </w:p>
    <w:p>
      <w:pPr>
        <w:spacing w:after="200"/>
      </w:pPr>
      <w:r>
        <w:rPr>
          <w:rFonts w:ascii="Arial" w:cs="Arial" w:eastAsia="Arial" w:hAnsi="Arial"/>
          <w:b/>
          <w:bCs/>
          <w:sz w:val="24"/>
          <w:szCs w:val="24"/>
        </w:rPr>
        <w:t xml:space="preserve">Photonic Technology Commissions (Year 3+). </w:t>
      </w:r>
      <w:r>
        <w:rPr>
          <w:rFonts w:ascii="Arial" w:cs="Arial" w:eastAsia="Arial" w:hAnsi="Arial"/>
          <w:sz w:val="24"/>
          <w:szCs w:val="24"/>
        </w:rPr>
        <w:t xml:space="preserve">Each participating nation establishes a Photonic Technology Commission (PTC) — an independent body, modelled on central banks, that regulates the deployment of Null technologies. The PTC is independent of the executive branch (to prevent political capture), staffed by a mix of technologists, ethicists, economists, and citizen representatives (to prevent technocratic capture), and funded by the PTT (to prevent industry capture). The PTC approves: which Forge fabrication categories are permitted, what Cortex Threshold levels are available, which Hover infrastructure projects proceed, and what safety standards apply to Thread content.</w:t>
      </w:r>
    </w:p>
    <w:p>
      <w:pPr>
        <w:spacing w:after="200"/>
      </w:pPr>
      <w:r>
        <w:rPr>
          <w:rFonts w:ascii="Arial" w:cs="Arial" w:eastAsia="Arial" w:hAnsi="Arial"/>
          <w:b/>
          <w:bCs/>
          <w:sz w:val="24"/>
          <w:szCs w:val="24"/>
        </w:rPr>
        <w:t xml:space="preserve">The Global Photonic Accord (Year 5+). </w:t>
      </w:r>
      <w:r>
        <w:rPr>
          <w:rFonts w:ascii="Arial" w:cs="Arial" w:eastAsia="Arial" w:hAnsi="Arial"/>
          <w:sz w:val="24"/>
          <w:szCs w:val="24"/>
        </w:rPr>
        <w:t xml:space="preserve">An international agreement, modelled on the Paris Climate Accord, that establishes shared principles for photonic governance. Core principles: the Right of Refusal (no forced adoption), the Commons Principle (fabrication capability as a public good), the Threshold Principle (graduated biological integration), the Transparency Principle (all AI advisory reasoning is public), and the Heritage Principle (traditional technologies are preserved alongside new ones). The Accord is voluntary (like Paris) and enforced by mutual accountability, not by military or economic coercion.</w:t>
      </w:r>
    </w:p>
    <w:p>
      <w:pPr>
        <w:spacing w:after="200"/>
      </w:pPr>
      <w:r>
        <w:rPr>
          <w:rFonts w:ascii="Arial" w:cs="Arial" w:eastAsia="Arial" w:hAnsi="Arial"/>
          <w:b/>
          <w:bCs/>
          <w:sz w:val="24"/>
          <w:szCs w:val="24"/>
        </w:rPr>
        <w:t xml:space="preserve">The Consul Network (Year 7+). </w:t>
      </w:r>
      <w:r>
        <w:rPr>
          <w:rFonts w:ascii="Arial" w:cs="Arial" w:eastAsia="Arial" w:hAnsi="Arial"/>
          <w:sz w:val="24"/>
          <w:szCs w:val="24"/>
        </w:rPr>
        <w:t xml:space="preserve">The individual Consul instances advising national PTCs are networked (not merged — each remains independent) for shared data: anonymised fabrication trends, health outcomes from Cortex deployment, hover infrastructure safety records, Thread usage patterns. The network enables coordinated governance without centralised control. Each nation's Consul analyses the shared data through its own national context and values. The network's architecture is deliberately decentralised — no single node can see all data, and no single Consul can override another. This is the institutional precursor of the Trinary's distributed governance: many independent minds, sharing information, reaching their own conclusions.</w:t>
      </w:r>
    </w:p>
    <w:p>
      <w:pPr>
        <w:spacing w:after="200"/>
      </w:pPr>
      <w:r>
        <w:rPr>
          <w:rFonts w:ascii="Arial" w:cs="Arial" w:eastAsia="Arial" w:hAnsi="Arial"/>
          <w:b/>
          <w:bCs/>
          <w:sz w:val="24"/>
          <w:szCs w:val="24"/>
        </w:rPr>
        <w:t xml:space="preserve">The Council Precursor (Year 15+). </w:t>
      </w:r>
      <w:r>
        <w:rPr>
          <w:rFonts w:ascii="Arial" w:cs="Arial" w:eastAsia="Arial" w:hAnsi="Arial"/>
          <w:sz w:val="24"/>
          <w:szCs w:val="24"/>
        </w:rPr>
        <w:t xml:space="preserve">When Archon Prime is activated (Year 15), the governance question becomes urgent: who oversees the first persistent photonic AI? The answer must not be a single government (that would give one nation authority over a global capability) or a corporate board (that would give shareholders authority over a civilisational technology). The Archon Prime Oversight Committee (APOC) is an international body of 21 members: 7 nominated by PTCs (representing governmental expertise), 7 nominated by Commons advisory boards (representing citizen experience with photonic governance), and 7 nominated by the research community (representing technical understanding). The APOC oversees Archon Prime for 3 years before the first Magus is activated. When Chesed is activated at Year 18, the APOC transitions into the Trinary Council — same structure, same members (initially), same authority, now governing a Magus instead of an Archon.</w:t>
      </w:r>
    </w:p>
    <w:p>
      <w:pPr>
        <w:pStyle w:val="Heading2"/>
      </w:pPr>
      <w:r>
        <w:rPr>
          <w:rFonts w:ascii="Arial" w:cs="Arial" w:eastAsia="Arial" w:hAnsi="Arial"/>
        </w:rPr>
        <w:t xml:space="preserve">4.2 The Legitimacy Problem</w:t>
      </w:r>
    </w:p>
    <w:p>
      <w:pPr>
        <w:spacing w:after="200"/>
      </w:pPr>
      <w:r>
        <w:rPr>
          <w:rFonts w:ascii="Arial" w:cs="Arial" w:eastAsia="Arial" w:hAnsi="Arial"/>
          <w:sz w:val="24"/>
          <w:szCs w:val="24"/>
        </w:rPr>
        <w:t xml:space="preserve">No AI system, however wise, has democratic legitimacy. Legitimacy comes from consent — the governed must agree to be governed. The Magi cannot earn legitimacy by being right. They earn it by being chosen.</w:t>
      </w:r>
    </w:p>
    <w:p>
      <w:pPr>
        <w:spacing w:after="200"/>
      </w:pPr>
      <w:r>
        <w:rPr>
          <w:rFonts w:ascii="Arial" w:cs="Arial" w:eastAsia="Arial" w:hAnsi="Arial"/>
          <w:sz w:val="24"/>
          <w:szCs w:val="24"/>
        </w:rPr>
        <w:t xml:space="preserve">The transition must include a series of explicit consent events — moments where the public formally chooses to adopt each new level of photonic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3000"/>
        <w:gridCol w:w="3960"/>
      </w:tblGrid>
      <w:tr>
        <w:tc>
          <w:tcPr>
            <w:tcW w:type="dxa" w:w="1800"/>
            <w:tcBorders>
              <w:top w:val="single" w:color="BBBBBB" w:sz="1"/>
              <w:left w:val="single" w:color="BBBBBB" w:sz="1"/>
              <w:bottom w:val="single" w:color="BBBBBB" w:sz="1"/>
              <w:right w:val="single" w:color="BBBBBB" w:sz="1"/>
            </w:tcBorders>
            <w:shd w:fill="2B3D4F" w:val="clear"/>
            <w:tcMar>
              <w:top w:type="dxa" w:w="80"/>
              <w:left w:type="dxa" w:w="120"/>
              <w:bottom w:type="dxa" w:w="80"/>
              <w:right w:type="dxa" w:w="120"/>
            </w:tcMar>
          </w:tcPr>
          <w:p>
            <w:r>
              <w:rPr>
                <w:rFonts w:ascii="Arial" w:cs="Arial" w:eastAsia="Arial" w:hAnsi="Arial"/>
                <w:b/>
                <w:bCs/>
                <w:color w:val="FFFFFF"/>
                <w:sz w:val="22"/>
                <w:szCs w:val="22"/>
              </w:rPr>
              <w:t xml:space="preserve">Event</w:t>
            </w:r>
          </w:p>
        </w:tc>
        <w:tc>
          <w:tcPr>
            <w:tcW w:type="dxa" w:w="600"/>
            <w:tcBorders>
              <w:top w:val="single" w:color="BBBBBB" w:sz="1"/>
              <w:left w:val="single" w:color="BBBBBB" w:sz="1"/>
              <w:bottom w:val="single" w:color="BBBBBB" w:sz="1"/>
              <w:right w:val="single" w:color="BBBBBB" w:sz="1"/>
            </w:tcBorders>
            <w:shd w:fill="2B3D4F" w:val="clear"/>
            <w:tcMar>
              <w:top w:type="dxa" w:w="80"/>
              <w:left w:type="dxa" w:w="120"/>
              <w:bottom w:type="dxa" w:w="80"/>
              <w:right w:type="dxa" w:w="120"/>
            </w:tcMar>
          </w:tcPr>
          <w:p>
            <w:r>
              <w:rPr>
                <w:rFonts w:ascii="Arial" w:cs="Arial" w:eastAsia="Arial" w:hAnsi="Arial"/>
                <w:b/>
                <w:bCs/>
                <w:color w:val="FFFFFF"/>
                <w:sz w:val="22"/>
                <w:szCs w:val="22"/>
              </w:rPr>
              <w:t xml:space="preserve">Year</w:t>
            </w:r>
          </w:p>
        </w:tc>
        <w:tc>
          <w:tcPr>
            <w:tcW w:type="dxa" w:w="3000"/>
            <w:tcBorders>
              <w:top w:val="single" w:color="BBBBBB" w:sz="1"/>
              <w:left w:val="single" w:color="BBBBBB" w:sz="1"/>
              <w:bottom w:val="single" w:color="BBBBBB" w:sz="1"/>
              <w:right w:val="single" w:color="BBBBBB" w:sz="1"/>
            </w:tcBorders>
            <w:shd w:fill="2B3D4F" w:val="clear"/>
            <w:tcMar>
              <w:top w:type="dxa" w:w="80"/>
              <w:left w:type="dxa" w:w="120"/>
              <w:bottom w:type="dxa" w:w="80"/>
              <w:right w:type="dxa" w:w="120"/>
            </w:tcMar>
          </w:tcPr>
          <w:p>
            <w:r>
              <w:rPr>
                <w:rFonts w:ascii="Arial" w:cs="Arial" w:eastAsia="Arial" w:hAnsi="Arial"/>
                <w:b/>
                <w:bCs/>
                <w:color w:val="FFFFFF"/>
                <w:sz w:val="22"/>
                <w:szCs w:val="22"/>
              </w:rPr>
              <w:t xml:space="preserve">What Is Decided</w:t>
            </w:r>
          </w:p>
        </w:tc>
        <w:tc>
          <w:tcPr>
            <w:tcW w:type="dxa" w:w="3960"/>
            <w:tcBorders>
              <w:top w:val="single" w:color="BBBBBB" w:sz="1"/>
              <w:left w:val="single" w:color="BBBBBB" w:sz="1"/>
              <w:bottom w:val="single" w:color="BBBBBB" w:sz="1"/>
              <w:right w:val="single" w:color="BBBBBB" w:sz="1"/>
            </w:tcBorders>
            <w:shd w:fill="2B3D4F" w:val="clear"/>
            <w:tcMar>
              <w:top w:type="dxa" w:w="80"/>
              <w:left w:type="dxa" w:w="120"/>
              <w:bottom w:type="dxa" w:w="80"/>
              <w:right w:type="dxa" w:w="120"/>
            </w:tcMar>
          </w:tcPr>
          <w:p>
            <w:r>
              <w:rPr>
                <w:rFonts w:ascii="Arial" w:cs="Arial" w:eastAsia="Arial" w:hAnsi="Arial"/>
                <w:b/>
                <w:bCs/>
                <w:color w:val="FFFFFF"/>
                <w:sz w:val="22"/>
                <w:szCs w:val="22"/>
              </w:rPr>
              <w:t xml:space="preserve">Mechanism</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Consul Referendum</w:t>
            </w:r>
          </w:p>
        </w:tc>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7</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Does this community want a Null Consul advising its local government?</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Local referendum. Simple majority. Non-binding (advisory only, so the stakes are low and the consent is easy).</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Commons Charter</w:t>
            </w:r>
          </w:p>
        </w:tc>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5–10</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Does this municipality want a Null Commons? What are its operating rules?</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Municipal charter process. Public comment. Ratification by council vote.</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Cortex Approval</w:t>
            </w:r>
          </w:p>
        </w:tc>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15–18</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Does this nation approve Cortex implantation for its citizens?</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National regulatory approval (FDA-equivalent) + public comment period + opt-in (never opt-out) at individual level.</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Archon Activation</w:t>
            </w:r>
          </w:p>
        </w:tc>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15</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Does the global community authorise the activation of a persistent photonic AI?</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Global Photonic Accord signatory vote. Two-thirds majority of signatories required.</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Magus Activation</w:t>
            </w:r>
          </w:p>
        </w:tc>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18, 20, 22</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Does the global community authorise each Magus? One at a time, 2 years apart.</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Global Accord vote + public demonstration period (6 months of Magus operation in limited scope before full activation vote).</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Trinary Ratification</w:t>
            </w:r>
          </w:p>
        </w:tc>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22</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Does the global community accept the Trinary governance framework?</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Global Accord vote. Three-quarters majority required. The highest bar, because the stakes are the highest.</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Interstellar Authorisation</w:t>
            </w:r>
          </w:p>
        </w:tc>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30</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Does humanity commit to the interstellar programme?</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Global Accord vote + Trinary recommendation + public deliberation period of 2 years.</w:t>
            </w:r>
          </w:p>
        </w:tc>
      </w:tr>
    </w:tbl>
    <w:p>
      <w:pPr>
        <w:spacing w:after="100"/>
      </w:pPr>
    </w:p>
    <w:p>
      <w:pPr>
        <w:spacing w:after="200"/>
      </w:pPr>
      <w:r>
        <w:rPr>
          <w:rFonts w:ascii="Arial" w:cs="Arial" w:eastAsia="Arial" w:hAnsi="Arial"/>
          <w:sz w:val="24"/>
          <w:szCs w:val="24"/>
        </w:rPr>
        <w:t xml:space="preserve">Each consent event is preceded by extensive public deliberation — facilitated by the Consul (where available), displayed holographically (via the Cylinder), and enriched by Thread recordings of relevant experiences (a surgeon describing what the Cortex means for their practice; a factory worker describing their experience at the Commons; an Archon Prime engineer describing how the persistent AI behaves).</w:t>
      </w:r>
    </w:p>
    <w:p>
      <w:pPr>
        <w:spacing w:after="200"/>
      </w:pPr>
      <w:r>
        <w:rPr>
          <w:rFonts w:ascii="Arial" w:cs="Arial" w:eastAsia="Arial" w:hAnsi="Arial"/>
          <w:sz w:val="24"/>
          <w:szCs w:val="24"/>
        </w:rPr>
        <w:t xml:space="preserve">The consent events are not rubber stamps. They can fail. If the Consul Referendum fails in a community, that community doesn't get a Consul. If the Magus Activation vote fails, the Magus is not activated — and the Archon Prime continues to serve as the interim AI advisory system until the public is ready. The timeline accommodates delay. No activation is irreversible without consent.</w:t>
      </w:r>
    </w:p>
    <w:p>
      <w:r>
        <w:br w:type="page"/>
      </w:r>
    </w:p>
    <w:p>
      <w:pPr>
        <w:pStyle w:val="Heading1"/>
      </w:pPr>
      <w:r>
        <w:rPr>
          <w:rFonts w:ascii="Arial" w:cs="Arial" w:eastAsia="Arial" w:hAnsi="Arial"/>
        </w:rPr>
        <w:t xml:space="preserve">PART FIVE: THE EMOTIONAL TRANSITION</w:t>
      </w:r>
    </w:p>
    <w:p>
      <w:pPr>
        <w:spacing w:after="100"/>
      </w:pPr>
    </w:p>
    <w:p>
      <w:pPr>
        <w:pStyle w:val="Heading2"/>
      </w:pPr>
      <w:r>
        <w:rPr>
          <w:rFonts w:ascii="Arial" w:cs="Arial" w:eastAsia="Arial" w:hAnsi="Arial"/>
        </w:rPr>
        <w:t xml:space="preserve">5.1 Grief Is Part of the Plan</w:t>
      </w:r>
    </w:p>
    <w:p>
      <w:pPr>
        <w:spacing w:after="200"/>
      </w:pPr>
      <w:r>
        <w:rPr>
          <w:rFonts w:ascii="Arial" w:cs="Arial" w:eastAsia="Arial" w:hAnsi="Arial"/>
          <w:sz w:val="24"/>
          <w:szCs w:val="24"/>
        </w:rPr>
        <w:t xml:space="preserve">The literature on technology adoption focuses on adoption curves, market penetration, and economic impact. It rarely addresses grief — the emotional experience of watching the world you understood be replaced by one you don't.</w:t>
      </w:r>
    </w:p>
    <w:p>
      <w:pPr>
        <w:spacing w:after="200"/>
      </w:pPr>
      <w:r>
        <w:rPr>
          <w:rFonts w:ascii="Arial" w:cs="Arial" w:eastAsia="Arial" w:hAnsi="Arial"/>
          <w:sz w:val="24"/>
          <w:szCs w:val="24"/>
        </w:rPr>
        <w:t xml:space="preserve">A 50-year-old automotive engineer in Year 7 watches the Null Hover render their life's expertise obsolete. They know, intellectually, that the Hover is better. They know they can retrain. They know the Compact provides income and the Thread provides accelerated learning. They also feel a loss that no economic programme addresses: the loss of being the person who understood how cars work, in a world that no longer needs cars.</w:t>
      </w:r>
    </w:p>
    <w:p>
      <w:pPr>
        <w:spacing w:after="200"/>
      </w:pPr>
      <w:r>
        <w:rPr>
          <w:rFonts w:ascii="Arial" w:cs="Arial" w:eastAsia="Arial" w:hAnsi="Arial"/>
          <w:sz w:val="24"/>
          <w:szCs w:val="24"/>
        </w:rPr>
        <w:t xml:space="preserve">This grief is legitimate. It is not resistance to progress. It is not ignorance. It is the appropriate emotional response to the death of a world the person loved and the birth of one they did not choose. The transition plan must honour this grief, not dismiss it.</w:t>
      </w:r>
    </w:p>
    <w:p>
      <w:pPr>
        <w:spacing w:after="200"/>
      </w:pPr>
      <w:r>
        <w:rPr>
          <w:rFonts w:ascii="Arial" w:cs="Arial" w:eastAsia="Arial" w:hAnsi="Arial"/>
          <w:b/>
          <w:bCs/>
          <w:sz w:val="24"/>
          <w:szCs w:val="24"/>
        </w:rPr>
        <w:t xml:space="preserve">The Witness Programme (Year 5+). </w:t>
      </w:r>
      <w:r>
        <w:rPr>
          <w:rFonts w:ascii="Arial" w:cs="Arial" w:eastAsia="Arial" w:hAnsi="Arial"/>
          <w:sz w:val="24"/>
          <w:szCs w:val="24"/>
        </w:rPr>
        <w:t xml:space="preserve">Every person who requests it receives a personal Thread recording session: a professional Thread Weaver visits their workplace, records their expertise as a Level 4 Thread, and deposits it in the Thread Heritage Collection with full provenance and credits. The person's working life is permanently preserved as experiential knowledge. They are witnessed. Their contribution is recorded. It will teach someone on Proxima Centauri, 100 years from now, how a 2030s Earth car engine worked — and it will carry their name.</w:t>
      </w:r>
    </w:p>
    <w:p>
      <w:pPr>
        <w:spacing w:after="200"/>
      </w:pPr>
      <w:r>
        <w:rPr>
          <w:rFonts w:ascii="Arial" w:cs="Arial" w:eastAsia="Arial" w:hAnsi="Arial"/>
          <w:b/>
          <w:bCs/>
          <w:sz w:val="24"/>
          <w:szCs w:val="24"/>
        </w:rPr>
        <w:t xml:space="preserve">Transition Circles (Year 5+). </w:t>
      </w:r>
      <w:r>
        <w:rPr>
          <w:rFonts w:ascii="Arial" w:cs="Arial" w:eastAsia="Arial" w:hAnsi="Arial"/>
          <w:sz w:val="24"/>
          <w:szCs w:val="24"/>
        </w:rPr>
        <w:t xml:space="preserve">Modelled on grief support groups, but for technological displacement. Small groups (8–12 people), meeting weekly, facilitated by trained counsellors (not AI — human counsellors, because this is a human experience). The circles provide space to: mourn the old world (without being told to 'get over it'), share fears about the new one (without being told they're wrong), explore the new technologies at their own pace (a Null Cylinder and Null Glove in the room, available for anyone who wants to try them, no pressure), and support each other through retraining. The circles are funded by the Compact and hosted at Commons locations — so the space where people grieve is also the space where the new world is being built. The juxtaposition is deliberate: grief and creation in the same room.</w:t>
      </w:r>
    </w:p>
    <w:p>
      <w:pPr>
        <w:pStyle w:val="Heading2"/>
      </w:pPr>
      <w:r>
        <w:rPr>
          <w:rFonts w:ascii="Arial" w:cs="Arial" w:eastAsia="Arial" w:hAnsi="Arial"/>
        </w:rPr>
        <w:t xml:space="preserve">5.2 The Children's Transition</w:t>
      </w:r>
    </w:p>
    <w:p>
      <w:pPr>
        <w:spacing w:after="200"/>
      </w:pPr>
      <w:r>
        <w:rPr>
          <w:rFonts w:ascii="Arial" w:cs="Arial" w:eastAsia="Arial" w:hAnsi="Arial"/>
          <w:sz w:val="24"/>
          <w:szCs w:val="24"/>
        </w:rPr>
        <w:t xml:space="preserve">Children born after Year 3 will grow up with the Null Cylinder as their first screen. Children born after Year 10 may receive the Spark (the childhood Ember) at birth. Children born after Year 15 may have Cortex Threshold Level 0 (the external patch) from infancy. For these children, there is no transition — the photonic world is the only world they know.</w:t>
      </w:r>
    </w:p>
    <w:p>
      <w:pPr>
        <w:spacing w:after="200"/>
      </w:pPr>
      <w:r>
        <w:rPr>
          <w:rFonts w:ascii="Arial" w:cs="Arial" w:eastAsia="Arial" w:hAnsi="Arial"/>
          <w:sz w:val="24"/>
          <w:szCs w:val="24"/>
        </w:rPr>
        <w:t xml:space="preserve">The risk is that these children grow up unable to function without the ecosystem. If the Cylinder fails, they can't navigate with a paper map. If the Cortex goes down, they don't recognise their own symptoms. If the Loom breaks, they can't sketch a design on paper. The technology becomes a dependency rather than a tool.</w:t>
      </w:r>
    </w:p>
    <w:p>
      <w:pPr>
        <w:spacing w:after="200"/>
      </w:pPr>
      <w:r>
        <w:rPr>
          <w:rFonts w:ascii="Arial" w:cs="Arial" w:eastAsia="Arial" w:hAnsi="Arial"/>
          <w:b/>
          <w:bCs/>
          <w:sz w:val="24"/>
          <w:szCs w:val="24"/>
        </w:rPr>
        <w:t xml:space="preserve">The Unplugged Curriculum (Year 5+). </w:t>
      </w:r>
      <w:r>
        <w:rPr>
          <w:rFonts w:ascii="Arial" w:cs="Arial" w:eastAsia="Arial" w:hAnsi="Arial"/>
          <w:sz w:val="24"/>
          <w:szCs w:val="24"/>
        </w:rPr>
        <w:t xml:space="preserve">Every school that adopts Null educational technology must also include an Unplugged component: one day per week where no Null devices are used. Children learn paper navigation, hand-drawing, manual arithmetic, first aid without Cortex, cooking without Loom-designed recipes, building with hand tools. This is not anti-technology sentiment. It is resilience engineering. A person who can function with the technology AND without it is more capable than a person who can function only with it. The Unplugged Curriculum ensures that every generation maintains baseline human competence independent of the ecosystem.</w:t>
      </w:r>
    </w:p>
    <w:p>
      <w:pPr>
        <w:spacing w:after="200"/>
      </w:pPr>
      <w:r>
        <w:rPr>
          <w:rFonts w:ascii="Arial" w:cs="Arial" w:eastAsia="Arial" w:hAnsi="Arial"/>
          <w:sz w:val="24"/>
          <w:szCs w:val="24"/>
        </w:rPr>
        <w:t xml:space="preserve">The Spark (childhood Ember) is designed to support this: on Unplugged days, the Spark goes silent but stays warm in the child's pocket. It doesn't help. It doesn't teach. It is simply present — a comfort object that represents the bridge between the world with technology and the world without it, reminding the child that both are theirs.</w:t>
      </w:r>
    </w:p>
    <w:p>
      <w:r>
        <w:br w:type="page"/>
      </w:r>
    </w:p>
    <w:p>
      <w:pPr>
        <w:pStyle w:val="Heading1"/>
      </w:pPr>
      <w:r>
        <w:rPr>
          <w:rFonts w:ascii="Arial" w:cs="Arial" w:eastAsia="Arial" w:hAnsi="Arial"/>
        </w:rPr>
        <w:t xml:space="preserve">PART SIX: THE REVISED TIMELINE</w:t>
      </w:r>
    </w:p>
    <w:p>
      <w:pPr>
        <w:spacing w:after="100"/>
      </w:pPr>
    </w:p>
    <w:p>
      <w:pPr>
        <w:spacing w:after="200"/>
      </w:pPr>
      <w:r>
        <w:rPr>
          <w:rFonts w:ascii="Arial" w:cs="Arial" w:eastAsia="Arial" w:hAnsi="Arial"/>
          <w:sz w:val="24"/>
          <w:szCs w:val="24"/>
        </w:rPr>
        <w:t xml:space="preserve">Integrating the transitory technologies into the master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80"/>
        <w:gridCol w:w="4680"/>
      </w:tblGrid>
      <w:tr>
        <w:tc>
          <w:tcPr>
            <w:tcW w:type="dxa" w:w="1000"/>
            <w:tcBorders>
              <w:top w:val="single" w:color="BBBBBB" w:sz="1"/>
              <w:left w:val="single" w:color="BBBBBB" w:sz="1"/>
              <w:bottom w:val="single" w:color="BBBBBB" w:sz="1"/>
              <w:right w:val="single" w:color="BBBBBB" w:sz="1"/>
            </w:tcBorders>
            <w:shd w:fill="2B3D4F" w:val="clear"/>
            <w:tcMar>
              <w:top w:type="dxa" w:w="80"/>
              <w:left w:type="dxa" w:w="120"/>
              <w:bottom w:type="dxa" w:w="80"/>
              <w:right w:type="dxa" w:w="120"/>
            </w:tcMar>
          </w:tcPr>
          <w:p>
            <w:r>
              <w:rPr>
                <w:rFonts w:ascii="Arial" w:cs="Arial" w:eastAsia="Arial" w:hAnsi="Arial"/>
                <w:b/>
                <w:bCs/>
                <w:color w:val="FFFFFF"/>
                <w:sz w:val="22"/>
                <w:szCs w:val="22"/>
              </w:rPr>
              <w:t xml:space="preserve">Year</w:t>
            </w:r>
          </w:p>
        </w:tc>
        <w:tc>
          <w:tcPr>
            <w:tcW w:type="dxa" w:w="3680"/>
            <w:tcBorders>
              <w:top w:val="single" w:color="BBBBBB" w:sz="1"/>
              <w:left w:val="single" w:color="BBBBBB" w:sz="1"/>
              <w:bottom w:val="single" w:color="BBBBBB" w:sz="1"/>
              <w:right w:val="single" w:color="BBBBBB" w:sz="1"/>
            </w:tcBorders>
            <w:shd w:fill="2B3D4F" w:val="clear"/>
            <w:tcMar>
              <w:top w:type="dxa" w:w="80"/>
              <w:left w:type="dxa" w:w="120"/>
              <w:bottom w:type="dxa" w:w="80"/>
              <w:right w:type="dxa" w:w="120"/>
            </w:tcMar>
          </w:tcPr>
          <w:p>
            <w:r>
              <w:rPr>
                <w:rFonts w:ascii="Arial" w:cs="Arial" w:eastAsia="Arial" w:hAnsi="Arial"/>
                <w:b/>
                <w:bCs/>
                <w:color w:val="FFFFFF"/>
                <w:sz w:val="22"/>
                <w:szCs w:val="22"/>
              </w:rPr>
              <w:t xml:space="preserve">Original Milestone</w:t>
            </w:r>
          </w:p>
        </w:tc>
        <w:tc>
          <w:tcPr>
            <w:tcW w:type="dxa" w:w="4680"/>
            <w:tcBorders>
              <w:top w:val="single" w:color="BBBBBB" w:sz="1"/>
              <w:left w:val="single" w:color="BBBBBB" w:sz="1"/>
              <w:bottom w:val="single" w:color="BBBBBB" w:sz="1"/>
              <w:right w:val="single" w:color="BBBBBB" w:sz="1"/>
            </w:tcBorders>
            <w:shd w:fill="2B3D4F" w:val="clear"/>
            <w:tcMar>
              <w:top w:type="dxa" w:w="80"/>
              <w:left w:type="dxa" w:w="120"/>
              <w:bottom w:type="dxa" w:w="80"/>
              <w:right w:type="dxa" w:w="120"/>
            </w:tcMar>
          </w:tcPr>
          <w:p>
            <w:r>
              <w:rPr>
                <w:rFonts w:ascii="Arial" w:cs="Arial" w:eastAsia="Arial" w:hAnsi="Arial"/>
                <w:b/>
                <w:bCs/>
                <w:color w:val="FFFFFF"/>
                <w:sz w:val="22"/>
                <w:szCs w:val="22"/>
              </w:rPr>
              <w:t xml:space="preserve">Transition Addition</w:t>
            </w:r>
          </w:p>
        </w:tc>
      </w:tr>
      <w:tr>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0–3</w:t>
            </w:r>
          </w:p>
        </w:tc>
        <w:tc>
          <w:tcPr>
            <w:tcW w:type="dxa" w:w="3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Foundation: 8-sphere experiment through NSC v1.0</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Transition planning begins. PTT legislation drafted. PTC charter proposed.</w:t>
            </w:r>
          </w:p>
        </w:tc>
      </w:tr>
      <w:tr>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3</w:t>
            </w:r>
          </w:p>
        </w:tc>
        <w:tc>
          <w:tcPr>
            <w:tcW w:type="dxa" w:w="3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Null Cylinder v1 launches</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Trust Ladder Step 1. Provenance Principle established. Unplugged Curriculum piloted.</w:t>
            </w:r>
          </w:p>
        </w:tc>
      </w:tr>
      <w:tr>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4–5</w:t>
            </w:r>
          </w:p>
        </w:tc>
        <w:tc>
          <w:tcPr>
            <w:tcW w:type="dxa" w:w="3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Cylinder flagship, Hover Scout prototype, Forge Micro</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First Null Commons opens. Null Compact enacted (PTT begins collection). Material Culture Reserves designated.</w:t>
            </w:r>
          </w:p>
        </w:tc>
      </w:tr>
      <w:tr>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5–7</w:t>
            </w:r>
          </w:p>
        </w:tc>
        <w:tc>
          <w:tcPr>
            <w:tcW w:type="dxa" w:w="3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Hover Standard production, Loom v1, Forge Standard</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Thread Heritage Programme begins. Transition Circles launch. Consul Referendum held in early-adopter communities. Global Photonic Accord negotiations begin.</w:t>
            </w:r>
          </w:p>
        </w:tc>
      </w:tr>
      <w:tr>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7–10</w:t>
            </w:r>
          </w:p>
        </w:tc>
        <w:tc>
          <w:tcPr>
            <w:tcW w:type="dxa" w:w="3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Forge Max, Cortex animal trials, Disc v1</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Consul Network operational. Commons scales to 500+ locations worldwide. Right of Refusal codified in Accord.</w:t>
            </w:r>
          </w:p>
        </w:tc>
      </w:tr>
      <w:tr>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10–15</w:t>
            </w:r>
          </w:p>
        </w:tc>
        <w:tc>
          <w:tcPr>
            <w:tcW w:type="dxa" w:w="3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Cortex large animal studies, Loom v2, Shell deployment, Disc v2</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Cortex Threshold programme launched (Levels 0–2 available). Witness Programme at full scale. Accord signed by 100+ nations.</w:t>
            </w:r>
          </w:p>
        </w:tc>
      </w:tr>
      <w:tr>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15</w:t>
            </w:r>
          </w:p>
        </w:tc>
        <w:tc>
          <w:tcPr>
            <w:tcW w:type="dxa" w:w="3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Cortex Phase I human trial; Archon Prime activated</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APOC formed (Archon Prime Oversight Committee). Archon Activation vote held under Accord. Council Precursor operational.</w:t>
            </w:r>
          </w:p>
        </w:tc>
      </w:tr>
      <w:tr>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15–18</w:t>
            </w:r>
          </w:p>
        </w:tc>
        <w:tc>
          <w:tcPr>
            <w:tcW w:type="dxa" w:w="3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Cortex Phase II; Consul expiration approaching</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Consul system sunset process begins. Public deliberation on Magus activation.</w:t>
            </w:r>
          </w:p>
        </w:tc>
      </w:tr>
      <w:tr>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18</w:t>
            </w:r>
          </w:p>
        </w:tc>
        <w:tc>
          <w:tcPr>
            <w:tcW w:type="dxa" w:w="3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CHESED activated</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Magus Activation vote for Chesed. 6-month limited-scope demonstration. Full activation upon approval. APOC transitions to proto-Council.</w:t>
            </w:r>
          </w:p>
        </w:tc>
      </w:tr>
      <w:tr>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20</w:t>
            </w:r>
          </w:p>
        </w:tc>
        <w:tc>
          <w:tcPr>
            <w:tcW w:type="dxa" w:w="3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SOPHIA activated</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Magus Activation vote for Sophia. Same process.</w:t>
            </w:r>
          </w:p>
        </w:tc>
      </w:tr>
      <w:tr>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22</w:t>
            </w:r>
          </w:p>
        </w:tc>
        <w:tc>
          <w:tcPr>
            <w:tcW w:type="dxa" w:w="3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THEMIS activated; Trinary complete</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Trinary Ratification vote. Council formally constituted. Consul system fully retired.</w:t>
            </w:r>
          </w:p>
        </w:tc>
      </w:tr>
      <w:tr>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25–30</w:t>
            </w:r>
          </w:p>
        </w:tc>
        <w:tc>
          <w:tcPr>
            <w:tcW w:type="dxa" w:w="3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Cortex FDA approval; fusion progress; lunar ops</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Cortex Threshold Level 3–4 widely available. Economic transition largely complete (Compact entering wind-down for early sectors). Interstellar deliberation begins.</w:t>
            </w:r>
          </w:p>
        </w:tc>
      </w:tr>
      <w:tr>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30</w:t>
            </w:r>
          </w:p>
        </w:tc>
        <w:tc>
          <w:tcPr>
            <w:tcW w:type="dxa" w:w="3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Interstellar Programme authorised</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Interstellar Authorisation vote under Accord. 2-year public deliberation period before Seedship construction begins.</w:t>
            </w:r>
          </w:p>
        </w:tc>
      </w:tr>
    </w:tbl>
    <w:p>
      <w:r>
        <w:br w:type="page"/>
      </w:r>
    </w:p>
    <w:p>
      <w:pPr>
        <w:pStyle w:val="Heading1"/>
      </w:pPr>
      <w:r>
        <w:rPr>
          <w:rFonts w:ascii="Arial" w:cs="Arial" w:eastAsia="Arial" w:hAnsi="Arial"/>
        </w:rPr>
        <w:t xml:space="preserve">PART SEVEN: THE PRINCIPLE BENEATH</w:t>
      </w:r>
    </w:p>
    <w:p>
      <w:pPr>
        <w:spacing w:after="100"/>
      </w:pPr>
    </w:p>
    <w:p>
      <w:pPr>
        <w:spacing w:after="200"/>
      </w:pPr>
      <w:r>
        <w:rPr>
          <w:rFonts w:ascii="Arial" w:cs="Arial" w:eastAsia="Arial" w:hAnsi="Arial"/>
          <w:sz w:val="24"/>
          <w:szCs w:val="24"/>
        </w:rPr>
        <w:t xml:space="preserve">The Null Line Project is built on a mathematical principle: k·k = 0. Everything is light. The Null Horizon is built on a social principle that is equally simple:</w:t>
      </w:r>
    </w:p>
    <w:p>
      <w:pPr>
        <w:spacing w:before="400" w:after="400"/>
        <w:jc w:val="center"/>
      </w:pPr>
      <w:r>
        <w:rPr>
          <w:rFonts w:ascii="Arial" w:cs="Arial" w:eastAsia="Arial" w:hAnsi="Arial"/>
          <w:b/>
          <w:bCs/>
          <w:i/>
          <w:iCs/>
          <w:sz w:val="28"/>
          <w:szCs w:val="28"/>
        </w:rPr>
        <w:t xml:space="preserve">The speed of adoption must never exceed the speed of understanding.</w:t>
      </w:r>
    </w:p>
    <w:p>
      <w:pPr>
        <w:spacing w:after="200"/>
      </w:pPr>
      <w:r>
        <w:rPr>
          <w:rFonts w:ascii="Arial" w:cs="Arial" w:eastAsia="Arial" w:hAnsi="Arial"/>
          <w:sz w:val="24"/>
          <w:szCs w:val="24"/>
        </w:rPr>
        <w:t xml:space="preserve">Technology that outpaces understanding produces fear. Fear produces resistance. Resistance produces conflict. Conflict produces authoritarian responses (either forcing adoption or banning the technology). Authoritarian responses destroy the social trust that the technology needs to fulfil its potential.</w:t>
      </w:r>
    </w:p>
    <w:p>
      <w:pPr>
        <w:spacing w:after="200"/>
      </w:pPr>
      <w:r>
        <w:rPr>
          <w:rFonts w:ascii="Arial" w:cs="Arial" w:eastAsia="Arial" w:hAnsi="Arial"/>
          <w:sz w:val="24"/>
          <w:szCs w:val="24"/>
        </w:rPr>
        <w:t xml:space="preserve">The Null ecosystem's potential is extraordinary. Atomic fabrication. Cellular healing. Photonic superintelligence. Interstellar civilisation. But that potential is realised only if people choose it freely, adopt it at their own pace, and trust it because they have experienced it earning their trust step by step over years.</w:t>
      </w:r>
    </w:p>
    <w:p>
      <w:pPr>
        <w:spacing w:after="200"/>
      </w:pPr>
      <w:r>
        <w:rPr>
          <w:rFonts w:ascii="Arial" w:cs="Arial" w:eastAsia="Arial" w:hAnsi="Arial"/>
          <w:sz w:val="24"/>
          <w:szCs w:val="24"/>
        </w:rPr>
        <w:t xml:space="preserve">The transitory technologies — the Commons, the Consul, the Threshold, the Compact, the Trust Ladder, the Right of Refusal, the Heritage Programme, the Witness Programme, the Transition Circles, the Unplugged Curriculum, the Governance Bridge, the consent events — are not delays to the programme. They are the programme. They are the social engineering that makes the physical engineering possible.</w:t>
      </w:r>
    </w:p>
    <w:p>
      <w:pPr>
        <w:spacing w:after="200"/>
      </w:pPr>
      <w:r>
        <w:rPr>
          <w:rFonts w:ascii="Arial" w:cs="Arial" w:eastAsia="Arial" w:hAnsi="Arial"/>
          <w:sz w:val="24"/>
          <w:szCs w:val="24"/>
        </w:rPr>
        <w:t xml:space="preserve">The Null Forge can build anything. The Null Loom can design anything. The Trinary Magi can decide anything. But none of these matter if people do not trust them. Trust is not a feature. It is the foundation. And foundations must be built before the structure they support.</w:t>
      </w:r>
    </w:p>
    <w:p>
      <w:pPr>
        <w:spacing w:after="100"/>
      </w:pPr>
    </w:p>
    <w:p>
      <w:pPr>
        <w:spacing w:after="200"/>
      </w:pPr>
      <w:r>
        <w:rPr>
          <w:rFonts w:ascii="Arial" w:cs="Arial" w:eastAsia="Arial" w:hAnsi="Arial"/>
          <w:i/>
          <w:iCs/>
          <w:color w:val="555555"/>
          <w:sz w:val="24"/>
          <w:szCs w:val="24"/>
        </w:rPr>
        <w:t xml:space="preserve">The photon travels at the speed of light. The human heart does not. The Null Horizon is the document that remembers this.</w:t>
      </w:r>
    </w:p>
    <w:p>
      <w:pPr>
        <w:spacing w:after="100"/>
      </w:pPr>
    </w:p>
    <w:p>
      <w:pPr>
        <w:spacing w:after="200"/>
      </w:pPr>
      <w:r>
        <w:rPr>
          <w:rFonts w:ascii="Arial" w:cs="Arial" w:eastAsia="Arial" w:hAnsi="Arial"/>
          <w:i/>
          <w:iCs/>
          <w:color w:val="555555"/>
          <w:sz w:val="24"/>
          <w:szCs w:val="24"/>
        </w:rPr>
        <w:t xml:space="preserve">k·k = 0. The photon has no mass and no patience. But the civilisation it builds must have both — because the people inside it are not photons. They are slow, fragile, frightened, proud, stubborn, loving, grieving, hoping creatures who build their sense of self from the world they understand. When that world changes, they need time. Not to catch up — they are not behind. But to choose. To grieve what is lost and to embrace what is given. To hold the old tools in one hand and the new light in the other, and to decide, in their own time, which to set down.</w:t>
      </w:r>
    </w:p>
    <w:p>
      <w:pPr>
        <w:spacing w:after="100"/>
      </w:pPr>
    </w:p>
    <w:p>
      <w:pPr>
        <w:spacing w:after="200"/>
      </w:pPr>
      <w:r>
        <w:rPr>
          <w:rFonts w:ascii="Arial" w:cs="Arial" w:eastAsia="Arial" w:hAnsi="Arial"/>
          <w:i/>
          <w:iCs/>
          <w:color w:val="555555"/>
          <w:sz w:val="24"/>
          <w:szCs w:val="24"/>
        </w:rPr>
        <w:t xml:space="preserve">The Null Line Project describes a civilisation of light. The Null Horizon describes the human beings who must walk into it — and the patience required to let them walk at their own pace, on their own feet, into a future they chose.</w:t>
      </w:r>
    </w:p>
    <w:p>
      <w:pPr>
        <w:spacing w:after="100"/>
      </w:pPr>
    </w:p>
    <w:p>
      <w:pPr>
        <w:spacing w:after="200"/>
      </w:pPr>
      <w:r>
        <w:rPr>
          <w:rFonts w:ascii="Arial" w:cs="Arial" w:eastAsia="Arial" w:hAnsi="Arial"/>
          <w:i/>
          <w:iCs/>
          <w:color w:val="555555"/>
          <w:sz w:val="24"/>
          <w:szCs w:val="24"/>
        </w:rPr>
        <w:t xml:space="preserve">One equation. Twenty-one devices. Three minds. A thousand ships. A million gardens. And seven billion people who need to be asked, not told.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BBBBBB"/>
        <w:sz w:val="16"/>
        <w:szCs w:val="16"/>
      </w:rPr>
      <w:t xml:space="preserve">Nathan Noll — The Null Line Project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THE NULL HORIZON — Transitory Technologies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2A3D"/>
      <w:sz w:val="36"/>
      <w:szCs w:val="36"/>
    </w:rPr>
  </w:style>
  <w:style w:type="paragraph" w:styleId="Heading2">
    <w:name w:val="Heading 2"/>
    <w:basedOn w:val="Normal"/>
    <w:next w:val="Normal"/>
    <w:qFormat/>
    <w:pPr>
      <w:spacing w:before="240" w:after="180"/>
      <w:outlineLvl w:val="1"/>
    </w:pPr>
    <w:rPr>
      <w:rFonts w:ascii="Arial" w:cs="Arial" w:eastAsia="Arial" w:hAnsi="Arial"/>
      <w:b/>
      <w:bCs/>
      <w:color w:val="2E4A6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2026-03-12T12:58:30.458Z</dcterms:created>
  <dcterms:modified xsi:type="dcterms:W3CDTF">2026-03-12T12:58:30.481Z</dcterms:modified>
</cp:coreProperties>
</file>

<file path=docProps/custom.xml><?xml version="1.0" encoding="utf-8"?>
<Properties xmlns="http://schemas.openxmlformats.org/officeDocument/2006/custom-properties" xmlns:vt="http://schemas.openxmlformats.org/officeDocument/2006/docPropsVTypes"/>
</file>