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color w:val="0F766E"/>
          <w:spacing w:val="60"/>
          <w:sz w:val="22"/>
          <w:szCs w:val="22"/>
        </w:rPr>
        <w:t xml:space="preserve">ENERGYWAVE</w:t>
      </w:r>
    </w:p>
    <w:p>
      <w:pPr>
        <w:spacing w:after="200"/>
      </w:pPr>
      <w:r>
        <w:rPr>
          <w:rFonts w:ascii="Cambria" w:cs="Cambria" w:eastAsia="Cambria" w:hAnsi="Cambria"/>
          <w:b/>
          <w:bCs/>
          <w:color w:val="1B2433"/>
          <w:sz w:val="60"/>
          <w:szCs w:val="60"/>
        </w:rPr>
        <w:t xml:space="preserve">Technical Prospectus</w:t>
      </w:r>
    </w:p>
    <w:p>
      <w:pPr>
        <w:spacing w:after="400"/>
      </w:pPr>
      <w:r>
        <w:rPr>
          <w:rFonts w:ascii="Cambria" w:cs="Cambria" w:eastAsia="Cambria" w:hAnsi="Cambria"/>
          <w:i/>
          <w:iCs/>
          <w:color w:val="1B2433"/>
          <w:sz w:val="28"/>
          <w:szCs w:val="28"/>
        </w:rPr>
        <w:t xml:space="preserve">A research program to test whether engineered nanostructures can produce repeatable, artifact-free electrical output — and to publish the answer either way</w:t>
      </w:r>
    </w:p>
    <w:p>
      <w:pPr>
        <w:spacing w:after="140" w:before="0" w:line="276"/>
        <w:jc w:val="left"/>
      </w:pPr>
      <w:r>
        <w:rPr>
          <w:rFonts w:ascii="Calibri" w:cs="Calibri" w:eastAsia="Calibri" w:hAnsi="Calibri"/>
          <w:color w:val="5B6B7F"/>
          <w:sz w:val="20"/>
          <w:szCs w:val="20"/>
        </w:rPr>
        <w:t xml:space="preserve">Draft v1.0 · September 2026 · Confidential — prepared for scientific advisory and technical-diligence review</w:t>
      </w:r>
    </w:p>
    <w:p>
      <w:pPr>
        <w:spacing w:after="140" w:before="0" w:line="276"/>
        <w:jc w:val="left"/>
      </w:pPr>
      <w:r>
        <w:rPr>
          <w:rFonts w:ascii="Calibri" w:cs="Calibri" w:eastAsia="Calibri" w:hAnsi="Calibri"/>
          <w:color w:val="5B6B7F"/>
          <w:sz w:val="20"/>
          <w:szCs w:val="20"/>
        </w:rPr>
        <w:t xml:space="preserve">This document contains no device performance claims. It describes hypotheses, protocols and decision rules. Figures shown in [brackets] are placeholders pending the EnergyWave financial workbook. Legal language is a draft for review by counsel (K&amp;L Gates).</w:t>
      </w:r>
    </w:p>
    <w:p>
      <w:pPr>
        <w:spacing w:after="1400"/>
      </w:pPr>
    </w:p>
    <w:p>
      <w:pPr>
        <w:spacing w:after="140" w:before="0" w:line="276"/>
        <w:jc w:val="left"/>
      </w:pPr>
      <w:r>
        <w:rPr>
          <w:rFonts w:ascii="Calibri" w:cs="Calibri" w:eastAsia="Calibri" w:hAnsi="Calibri"/>
          <w:color w:val="5B6B7F"/>
          <w:sz w:val="20"/>
          <w:szCs w:val="20"/>
        </w:rPr>
        <w:t xml:space="preserve">EnergyWave · Newport Beach, California · energywave.ai</w:t>
      </w:r>
    </w:p>
    <w:p>
      <w:r>
        <w:br w:type="page"/>
      </w:r>
    </w:p>
    <w:p>
      <w:pPr>
        <w:spacing w:after="200"/>
      </w:pPr>
      <w:r>
        <w:rPr>
          <w:rFonts w:ascii="Cambria" w:cs="Cambria" w:eastAsia="Cambria" w:hAnsi="Cambria"/>
          <w:b/>
          <w:bCs/>
          <w:color w:val="1B2433"/>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before="0" w:line="276"/>
        <w:jc w:val="left"/>
      </w:pPr>
      <w:r>
        <w:rPr>
          <w:rFonts w:ascii="Calibri" w:cs="Calibri" w:eastAsia="Calibri" w:hAnsi="Calibri"/>
          <w:color w:val="5B6B7F"/>
          <w:sz w:val="18"/>
          <w:szCs w:val="18"/>
        </w:rPr>
        <w:t xml:space="preserve">If the table above appears empty, open the document in Word and choose “Update field”.</w:t>
      </w:r>
    </w:p>
    <w:p>
      <w:r>
        <w:br w:type="page"/>
      </w:r>
    </w:p>
    <w:p>
      <w:pPr>
        <w:pStyle w:val="Heading1"/>
        <w:spacing w:after="160" w:before="360"/>
      </w:pPr>
      <w:r>
        <w:rPr>
          <w:rFonts w:ascii="Cambria" w:cs="Cambria" w:eastAsia="Cambria" w:hAnsi="Cambria"/>
          <w:b/>
          <w:bCs/>
          <w:color w:val="1B2433"/>
          <w:sz w:val="34"/>
          <w:szCs w:val="34"/>
        </w:rPr>
        <w:t xml:space="preserve">1. Purpose and scope of this document</w:t>
      </w:r>
    </w:p>
    <w:p>
      <w:pPr>
        <w:spacing w:after="140" w:before="0" w:line="276"/>
        <w:jc w:val="left"/>
      </w:pPr>
      <w:r>
        <w:rPr>
          <w:rFonts w:ascii="Calibri" w:cs="Calibri" w:eastAsia="Calibri" w:hAnsi="Calibri"/>
          <w:color w:val="1B2433"/>
          <w:sz w:val="22"/>
          <w:szCs w:val="22"/>
        </w:rPr>
        <w:t xml:space="preserve">This prospectus describes a research program, not a result. EnergyWave has built no device whose performance it can report, and this document makes no claim that any such device will work. Its purpose is to state, with enough precision that a physicist can disagree with it, what scientific question EnergyWave intends to answer, why that question is open at all given a strong theoretical prior that the answer is “no”, how the first experiments are designed so that a null result is as informative as a positive one, and what commitments bind the company to publish whichever result it obtains.</w:t>
      </w:r>
    </w:p>
    <w:p>
      <w:pPr>
        <w:spacing w:after="140" w:before="0" w:line="276"/>
        <w:jc w:val="left"/>
      </w:pPr>
      <w:r>
        <w:rPr>
          <w:rFonts w:ascii="Calibri" w:cs="Calibri" w:eastAsia="Calibri" w:hAnsi="Calibri"/>
          <w:color w:val="1B2433"/>
          <w:sz w:val="22"/>
          <w:szCs w:val="22"/>
        </w:rPr>
        <w:t xml:space="preserve">It is written for three readers: the independent physicists who will be invited to form the external scientific advisory board; technical advisors performing diligence on behalf of prospective investors; and the university or national-laboratory groups EnergyWave intends to contract for independent replication. It is deliberately short. A forty-to-one-hundred-page “white paper” with no experimental data would be a literature review with a hypothesis attached; the long document belongs after Gate 1 has produced data.</w:t>
      </w:r>
    </w:p>
    <w:p>
      <w:pPr>
        <w:spacing w:after="140" w:before="0" w:line="276"/>
        <w:jc w:val="left"/>
      </w:pPr>
      <w:r>
        <w:rPr>
          <w:rFonts w:ascii="Calibri" w:cs="Calibri" w:eastAsia="Calibri" w:hAnsi="Calibri"/>
          <w:color w:val="1B2433"/>
          <w:sz w:val="22"/>
          <w:szCs w:val="22"/>
        </w:rPr>
        <w:t xml:space="preserve">What this document is not: it is not a physics tutorial, it is not marketing, and it is not an offering document. Every experimental claim in the literature is labelled by its evidentiary status — established, observed, proposed, or claimed-but-not-replicated — and the mainstream thermodynamic objections are stated in full in Section 4.6 before any experiment is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C" w:sz="4"/>
              <w:left w:val="single" w:color="C9D2DC" w:sz="4"/>
              <w:bottom w:val="single" w:color="C9D2DC" w:sz="4"/>
              <w:right w:val="single" w:color="C9D2DC" w:sz="4"/>
            </w:tcBorders>
            <w:shd w:fill="EEF3F7" w:color="auto" w:val="clear"/>
            <w:tcMar>
              <w:top w:type="dxa" w:w="120"/>
              <w:left w:type="dxa" w:w="160"/>
              <w:bottom w:type="dxa" w:w="120"/>
              <w:right w:type="dxa" w:w="160"/>
            </w:tcMar>
          </w:tcPr>
          <w:p>
            <w:pPr>
              <w:spacing w:after="60"/>
            </w:pPr>
            <w:r>
              <w:rPr>
                <w:rFonts w:ascii="Calibri" w:cs="Calibri" w:eastAsia="Calibri" w:hAnsi="Calibri"/>
                <w:b/>
                <w:bCs/>
                <w:color w:val="0F766E"/>
                <w:sz w:val="21"/>
                <w:szCs w:val="21"/>
              </w:rPr>
              <w:t xml:space="preserve">Claims discipline (applies to every EnergyWave document)</w:t>
            </w:r>
          </w:p>
          <w:p>
            <w:pPr>
              <w:spacing w:after="60" w:line="264"/>
            </w:pPr>
            <w:r>
              <w:rPr>
                <w:rFonts w:ascii="Calibri" w:cs="Calibri" w:eastAsia="Calibri" w:hAnsi="Calibri"/>
                <w:color w:val="1B2433"/>
                <w:sz w:val="20"/>
                <w:szCs w:val="20"/>
              </w:rPr>
              <w:t xml:space="preserve">EnergyWave does not use the phrases “free energy”, “zero-point energy device”, “overunity” or “harvest the vacuum”, and does not attribute any watt, efficiency or runtime figure to any EnergyWave device. Results from other groups are described as “reported”, “claimed” or “not independently verified” until replicated. The company’s working assumption is that the mainstream prior is probably correct.</w:t>
            </w:r>
          </w:p>
        </w:tc>
      </w:tr>
    </w:tbl>
    <w:p>
      <w:pPr>
        <w:pStyle w:val="Heading1"/>
        <w:spacing w:after="160" w:before="360"/>
      </w:pPr>
      <w:r>
        <w:rPr>
          <w:rFonts w:ascii="Cambria" w:cs="Cambria" w:eastAsia="Cambria" w:hAnsi="Cambria"/>
          <w:b/>
          <w:bCs/>
          <w:color w:val="1B2433"/>
          <w:sz w:val="34"/>
          <w:szCs w:val="34"/>
        </w:rPr>
        <w:t xml:space="preserve">2. Executive summary</w:t>
      </w:r>
    </w:p>
    <w:p>
      <w:pPr>
        <w:spacing w:after="140" w:before="0" w:line="276"/>
        <w:jc w:val="left"/>
      </w:pPr>
      <w:r>
        <w:rPr>
          <w:rFonts w:ascii="Calibri" w:cs="Calibri" w:eastAsia="Calibri" w:hAnsi="Calibri"/>
          <w:color w:val="1B2433"/>
          <w:sz w:val="22"/>
          <w:szCs w:val="22"/>
        </w:rPr>
        <w:t xml:space="preserve">EnergyWave is an experimental research company investigating whether recent advances in nanofabrication, photonics, metamaterials and quantum engineering can enable a fundamentally new approach to electrical power generation. The company commits to rigorous testing, transparent reporting, pre-registered protocols, publication of null results and independent validation before making any claim about performance.</w:t>
      </w:r>
    </w:p>
    <w:p>
      <w:pPr>
        <w:spacing w:after="140" w:before="0" w:line="276"/>
        <w:jc w:val="left"/>
      </w:pPr>
      <w:r>
        <w:rPr>
          <w:rFonts w:ascii="Calibri" w:cs="Calibri" w:eastAsia="Calibri" w:hAnsi="Calibri"/>
          <w:b/>
          <w:bCs/>
          <w:color w:val="1B2433"/>
          <w:sz w:val="22"/>
          <w:szCs w:val="22"/>
        </w:rPr>
        <w:t xml:space="preserve">The motivating problem is energy density. </w:t>
      </w:r>
      <w:r>
        <w:rPr>
          <w:rFonts w:ascii="Calibri" w:cs="Calibri" w:eastAsia="Calibri" w:hAnsi="Calibri"/>
          <w:color w:val="1B2433"/>
          <w:sz w:val="22"/>
          <w:szCs w:val="22"/>
        </w:rPr>
        <w:t xml:space="preserve">A human runs on roughly 80 W at rest from a fuel — fat — that stores about 10 kWh per kilogram; the best commercial lithium-ion cells store about 0.25 kWh per kilogram, and packs less. Today’s humanoid robots carry 0.4–2.3 kWh and run for one to five hours (Section 3). A machine with human-grade sensing and actuation will draw more, not less. Batteries improve a few percent a year.</w:t>
      </w:r>
    </w:p>
    <w:p>
      <w:pPr>
        <w:spacing w:after="140" w:before="0" w:line="276"/>
        <w:jc w:val="left"/>
      </w:pPr>
      <w:r>
        <w:rPr>
          <w:rFonts w:ascii="Calibri" w:cs="Calibri" w:eastAsia="Calibri" w:hAnsi="Calibri"/>
          <w:b/>
          <w:bCs/>
          <w:color w:val="1B2433"/>
          <w:sz w:val="22"/>
          <w:szCs w:val="22"/>
        </w:rPr>
        <w:t xml:space="preserve">The research question, precisely: </w:t>
      </w:r>
      <w:r>
        <w:rPr>
          <w:rFonts w:ascii="Calibri" w:cs="Calibri" w:eastAsia="Calibri" w:hAnsi="Calibri"/>
          <w:color w:val="1B2433"/>
          <w:sz w:val="22"/>
          <w:szCs w:val="22"/>
        </w:rPr>
        <w:t xml:space="preserve">do engineered nanostructures — Casimir cavities, metamaterial and photonic-crystal boundaries, two-dimensional-material electrodes — produce any repeatable, artifact-free electrical output whose energy accounting cannot be closed by known sources? The expected answer on the mainstream prior is no: the electromagnetic vacuum is by definition the lowest-energy state; the Casimir force is conservative; and a device that delivered steady work from a single equilibrium reservoir would be a perpetual-motion machine of the second kind (Section 4.6).</w:t>
      </w:r>
    </w:p>
    <w:p>
      <w:pPr>
        <w:spacing w:after="140" w:before="0" w:line="276"/>
        <w:jc w:val="left"/>
      </w:pPr>
      <w:r>
        <w:rPr>
          <w:rFonts w:ascii="Calibri" w:cs="Calibri" w:eastAsia="Calibri" w:hAnsi="Calibri"/>
          <w:b/>
          <w:bCs/>
          <w:color w:val="1B2433"/>
          <w:sz w:val="22"/>
          <w:szCs w:val="22"/>
        </w:rPr>
        <w:t xml:space="preserve">Why the question is nonetheless worth an experiment: </w:t>
      </w:r>
      <w:r>
        <w:rPr>
          <w:rFonts w:ascii="Calibri" w:cs="Calibri" w:eastAsia="Calibri" w:hAnsi="Calibri"/>
          <w:color w:val="1B2433"/>
          <w:sz w:val="22"/>
          <w:szCs w:val="22"/>
        </w:rPr>
        <w:t xml:space="preserve">the Casimir force itself is precisely measured and routinely engineered (Sections 4.1–4.2); the tools to make and measure sub-100-nm structures at picowatt sensitivity are now ordinary; and the literature contains peer-reviewed but unreplicated reports of an unexplained direct current from metal–insulator–metal diodes under a Casimir cavity, at the picowatt level, from a single laboratory, together with a published theoretical critique arguing the proposed mechanism predicts the wrong sign (Section 4.5). Nobody has run the independent, pre-registered replication with a full artifact-exclusion protocol. That experiment is cheap, decisive and publishable whichever way it comes out.</w:t>
      </w:r>
    </w:p>
    <w:p>
      <w:pPr>
        <w:spacing w:after="140" w:before="0" w:line="276"/>
        <w:jc w:val="left"/>
      </w:pPr>
      <w:r>
        <w:rPr>
          <w:rFonts w:ascii="Calibri" w:cs="Calibri" w:eastAsia="Calibri" w:hAnsi="Calibri"/>
          <w:b/>
          <w:bCs/>
          <w:color w:val="1B2433"/>
          <w:sz w:val="22"/>
          <w:szCs w:val="22"/>
        </w:rPr>
        <w:t xml:space="preserve">The program: </w:t>
      </w:r>
      <w:r>
        <w:rPr>
          <w:rFonts w:ascii="Calibri" w:cs="Calibri" w:eastAsia="Calibri" w:hAnsi="Calibri"/>
          <w:color w:val="1B2433"/>
          <w:sz w:val="22"/>
          <w:szCs w:val="22"/>
        </w:rPr>
        <w:t xml:space="preserve">three gates. Gate 1 (Section 6) replicates the strongest published claim under a protocol designed to kill it, commissions a measurement platform whose error budget is itself published, and characterizes EnergyWave’s own engineered structures under the same protocol. Gate 2 (Section 7) — reached only on a certified Gate 1 pass — performs closed-system calorimetry and mechanism discrimination and contracts a second laboratory to replicate. Gate 3 asks whether anything real can be engineered, and is the first point at which EnergyWave would ever state a number. Capital for Gates 2 and 3 sits in escrow and is released only on certified, published gate reports.</w:t>
      </w:r>
    </w:p>
    <w:p>
      <w:pPr>
        <w:spacing w:after="140" w:before="0" w:line="276"/>
        <w:jc w:val="left"/>
      </w:pPr>
      <w:r>
        <w:rPr>
          <w:rFonts w:ascii="Calibri" w:cs="Calibri" w:eastAsia="Calibri" w:hAnsi="Calibri"/>
          <w:b/>
          <w:bCs/>
          <w:color w:val="1B2433"/>
          <w:sz w:val="22"/>
          <w:szCs w:val="22"/>
        </w:rPr>
        <w:t xml:space="preserve">The commitments (Section 8): </w:t>
      </w:r>
      <w:r>
        <w:rPr>
          <w:rFonts w:ascii="Calibri" w:cs="Calibri" w:eastAsia="Calibri" w:hAnsi="Calibri"/>
          <w:color w:val="1B2433"/>
          <w:sz w:val="22"/>
          <w:szCs w:val="22"/>
        </w:rPr>
        <w:t xml:space="preserve">pre-registration, mandatory publication of null results with data, budgeted independent replication, an external advisory board with veto over public performance statements, no performance claims before third-party validation, escrowed tranches, clean entity separation and open methods.</w:t>
      </w:r>
    </w:p>
    <w:p>
      <w:pPr>
        <w:pStyle w:val="Heading1"/>
        <w:spacing w:after="160" w:before="360"/>
      </w:pPr>
      <w:r>
        <w:rPr>
          <w:rFonts w:ascii="Cambria" w:cs="Cambria" w:eastAsia="Cambria" w:hAnsi="Cambria"/>
          <w:b/>
          <w:bCs/>
          <w:color w:val="1B2433"/>
          <w:sz w:val="34"/>
          <w:szCs w:val="34"/>
        </w:rPr>
        <w:t xml:space="preserve">3. The problem: energy density</w:t>
      </w:r>
    </w:p>
    <w:p>
      <w:pPr>
        <w:spacing w:after="140" w:before="0" w:line="276"/>
        <w:jc w:val="left"/>
      </w:pPr>
      <w:r>
        <w:rPr>
          <w:rFonts w:ascii="Calibri" w:cs="Calibri" w:eastAsia="Calibri" w:hAnsi="Calibri"/>
          <w:color w:val="1B2433"/>
          <w:sz w:val="22"/>
          <w:szCs w:val="22"/>
        </w:rPr>
        <w:t xml:space="preserve">EnergyWave’s founder started the company because of a constraint he encountered while thinking about humanoid robots: a machine with human-grade touch (nerve-density tactile sensing across an exoskeleton), continuous vision and hearing, and actuation at the granularity of human muscle has an input and output burden that no battery chemistry on the roadmap can sustain for a working day at human mass. The numbers below are the reason the question in this document is worth asking at all; they are not evidence that it has an affirmative answer.</w:t>
      </w:r>
    </w:p>
    <w:p>
      <w:pPr>
        <w:pStyle w:val="Heading2"/>
        <w:spacing w:after="120" w:before="260"/>
      </w:pPr>
      <w:r>
        <w:rPr>
          <w:rFonts w:ascii="Cambria" w:cs="Cambria" w:eastAsia="Cambria" w:hAnsi="Cambria"/>
          <w:b/>
          <w:bCs/>
          <w:color w:val="1B2433"/>
          <w:sz w:val="27"/>
          <w:szCs w:val="27"/>
        </w:rPr>
        <w:t xml:space="preserve">3.1 The biological benchmark</w:t>
      </w:r>
    </w:p>
    <w:p>
      <w:pPr>
        <w:spacing w:after="140" w:before="0" w:line="276"/>
        <w:jc w:val="left"/>
      </w:pPr>
      <w:r>
        <w:rPr>
          <w:rFonts w:ascii="Calibri" w:cs="Calibri" w:eastAsia="Calibri" w:hAnsi="Calibri"/>
          <w:color w:val="1B2433"/>
          <w:sz w:val="22"/>
          <w:szCs w:val="22"/>
        </w:rPr>
        <w:t xml:space="preserve">The FAO/WHO/UNU expert consultation on human energy requirements gives a basal metabolic rate of 7.30 MJ/day (84 W) for a 70-kg man aged 20–25 and 5.40 MJ/day (63 W) for a 55-kg woman aged 30–50 [33]. Total daily expenditure in the same report runs from about 2,000 kcal (8.4 MJ, 2.3 kWh) for a sedentary adult to about 3,900 kcal (16.4 MJ, 4.6 kWh) for a vigorously active one. The fuel is chemical: the Atwater general factor for fat is 37 kJ/g, i.e. 37 MJ/kg or about 10.3 kWh/kg [34]; adipose tissue, which is roughly 87% lipid, is nearer 32 MJ/kg (8.9 kWh/kg) on the classic Wishnofsky value used in obesity research.</w:t>
      </w:r>
    </w:p>
    <w:p>
      <w:pPr>
        <w:pStyle w:val="Heading2"/>
        <w:spacing w:after="120" w:before="260"/>
      </w:pPr>
      <w:r>
        <w:rPr>
          <w:rFonts w:ascii="Cambria" w:cs="Cambria" w:eastAsia="Cambria" w:hAnsi="Cambria"/>
          <w:b/>
          <w:bCs/>
          <w:color w:val="1B2433"/>
          <w:sz w:val="27"/>
          <w:szCs w:val="27"/>
        </w:rPr>
        <w:t xml:space="preserve">3.2 The electrochemical benchmark</w:t>
      </w:r>
    </w:p>
    <w:p>
      <w:pPr>
        <w:spacing w:after="140" w:before="0" w:line="276"/>
        <w:jc w:val="left"/>
      </w:pPr>
      <w:r>
        <w:rPr>
          <w:rFonts w:ascii="Calibri" w:cs="Calibri" w:eastAsia="Calibri" w:hAnsi="Calibri"/>
          <w:color w:val="1B2433"/>
          <w:sz w:val="22"/>
          <w:szCs w:val="22"/>
        </w:rPr>
        <w:t xml:space="preserve">The U.S. Department of Energy’s Battery500 program described commercial lithium-ion cells in 2020 as “approximately 220 Wh/kg”, with a program goal of 500 Wh/kg [35]. Named production cells reach 260–271 Wh/kg (Panasonic NCA and NCR2170, LG M50); lithium-iron-phosphate cells are far lower [36]. At the pack level — once housing, cooling and electronics are added — battery-electric vehicle packs average roughly 160–175 Wh/kg in 2026 benchmarks, with a few outliers above 250 [36]. A defensible summary: cells 150–300 Wh/kg depending on chemistry, state-of-the-art cylindrical cells about 250–270 Wh/kg, packs 120–200 Wh/kg.</w:t>
      </w:r>
    </w:p>
    <w:p>
      <w:pPr>
        <w:spacing w:after="140" w:before="0" w:line="276"/>
        <w:jc w:val="left"/>
      </w:pPr>
      <w:r>
        <w:rPr>
          <w:rFonts w:ascii="Calibri" w:cs="Calibri" w:eastAsia="Calibri" w:hAnsi="Calibri"/>
          <w:color w:val="1B2433"/>
          <w:sz w:val="22"/>
          <w:szCs w:val="22"/>
        </w:rPr>
        <w:t xml:space="preserve">On raw chemical-versus-electrical energy the gap between fat and a lithium-ion cell is about 40×, and about 65× at the pack. That comparison flatters biology, because muscle converts food to mechanical work at only about 20–25% while a battery-to-motor chain runs at 80–90% [32]; on useful-work terms the gap is nearer 10–15×. Both statements are true. EnergyWave documents say which one they mean.</w:t>
      </w:r>
    </w:p>
    <w:p>
      <w:pPr>
        <w:pStyle w:val="Heading2"/>
        <w:spacing w:after="120" w:before="260"/>
      </w:pPr>
      <w:r>
        <w:rPr>
          <w:rFonts w:ascii="Cambria" w:cs="Cambria" w:eastAsia="Cambria" w:hAnsi="Cambria"/>
          <w:b/>
          <w:bCs/>
          <w:color w:val="1B2433"/>
          <w:sz w:val="27"/>
          <w:szCs w:val="27"/>
        </w:rPr>
        <w:t xml:space="preserve">3.3 Humanoid robots today</w:t>
      </w:r>
    </w:p>
    <w:p>
      <w:pPr>
        <w:spacing w:after="140" w:before="0" w:line="276"/>
        <w:jc w:val="left"/>
      </w:pPr>
      <w:r>
        <w:rPr>
          <w:rFonts w:ascii="Calibri" w:cs="Calibri" w:eastAsia="Calibri" w:hAnsi="Calibri"/>
          <w:color w:val="1B2433"/>
          <w:sz w:val="22"/>
          <w:szCs w:val="22"/>
        </w:rPr>
        <w:t xml:space="preserve">Every figure in the table below is a manufacturer statement as of the date shown; none has been independently measured by EnergyWave.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700"/>
        <w:gridCol w:w="2760"/>
      </w:tblGrid>
      <w:tr>
        <w:trPr>
          <w:tblHeader/>
        </w:trPr>
        <w:tc>
          <w:tcPr>
            <w:tcW w:type="dxa" w:w="20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Platform</w:t>
            </w:r>
          </w:p>
        </w:tc>
        <w:tc>
          <w:tcPr>
            <w:tcW w:type="dxa" w:w="19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Stated pack</w:t>
            </w:r>
          </w:p>
        </w:tc>
        <w:tc>
          <w:tcPr>
            <w:tcW w:type="dxa" w:w="27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Stated runtime</w:t>
            </w:r>
          </w:p>
        </w:tc>
        <w:tc>
          <w:tcPr>
            <w:tcW w:type="dxa" w:w="276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Source (date)</w:t>
            </w:r>
          </w:p>
        </w:tc>
      </w:tr>
      <w:tr>
        <w:trPr>
          <w:cantSplit/>
        </w:trPr>
        <w:tc>
          <w:tcPr>
            <w:tcW w:type="dxa" w:w="20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Tesla Optimus</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2.3 kWh, 52 V</w:t>
            </w:r>
          </w:p>
        </w:tc>
        <w:tc>
          <w:tcPr>
            <w:tcW w:type="dxa" w:w="27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“about a full day of work”</w:t>
            </w:r>
          </w:p>
        </w:tc>
        <w:tc>
          <w:tcPr>
            <w:tcW w:type="dxa" w:w="27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Tesla AI Day via IEEE Spectrum (Sep 2022)</w:t>
            </w:r>
          </w:p>
        </w:tc>
      </w:tr>
      <w:tr>
        <w:trPr>
          <w:cantSplit/>
        </w:trPr>
        <w:tc>
          <w:tcPr>
            <w:tcW w:type="dxa" w:w="2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Figure 02</w:t>
            </w:r>
          </w:p>
        </w:tc>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2.25 kWh</w:t>
            </w:r>
          </w:p>
        </w:tc>
        <w:tc>
          <w:tcPr>
            <w:tcW w:type="dxa" w:w="27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not stated</w:t>
            </w:r>
          </w:p>
        </w:tc>
        <w:tc>
          <w:tcPr>
            <w:tcW w:type="dxa" w:w="27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Figure AI release (Aug 2024)</w:t>
            </w:r>
          </w:p>
        </w:tc>
      </w:tr>
      <w:tr>
        <w:trPr>
          <w:cantSplit/>
        </w:trPr>
        <w:tc>
          <w:tcPr>
            <w:tcW w:type="dxa" w:w="20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Figure 03</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2.3 kWh</w:t>
            </w:r>
          </w:p>
        </w:tc>
        <w:tc>
          <w:tcPr>
            <w:tcW w:type="dxa" w:w="27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5 h at peak performance (≈460 W average)</w:t>
            </w:r>
          </w:p>
        </w:tc>
        <w:tc>
          <w:tcPr>
            <w:tcW w:type="dxa" w:w="27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Figure AI, “F.03 Battery Development” (Jul 2025)</w:t>
            </w:r>
          </w:p>
        </w:tc>
      </w:tr>
      <w:tr>
        <w:trPr>
          <w:cantSplit/>
        </w:trPr>
        <w:tc>
          <w:tcPr>
            <w:tcW w:type="dxa" w:w="2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Unitree G1</w:t>
            </w:r>
          </w:p>
        </w:tc>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≈0.43 kWh (13S, 9 Ah)</w:t>
            </w:r>
          </w:p>
        </w:tc>
        <w:tc>
          <w:tcPr>
            <w:tcW w:type="dxa" w:w="27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≈2 h (reseller listing)</w:t>
            </w:r>
          </w:p>
        </w:tc>
        <w:tc>
          <w:tcPr>
            <w:tcW w:type="dxa" w:w="27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unitree.com; RobotShop</w:t>
            </w:r>
          </w:p>
        </w:tc>
      </w:tr>
      <w:tr>
        <w:trPr>
          <w:cantSplit/>
        </w:trPr>
        <w:tc>
          <w:tcPr>
            <w:tcW w:type="dxa" w:w="20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Unitree H1</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0.864 kWh, 15 Ah</w:t>
            </w:r>
          </w:p>
        </w:tc>
        <w:tc>
          <w:tcPr>
            <w:tcW w:type="dxa" w:w="27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not stated</w:t>
            </w:r>
          </w:p>
        </w:tc>
        <w:tc>
          <w:tcPr>
            <w:tcW w:type="dxa" w:w="27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unitree.com</w:t>
            </w:r>
          </w:p>
        </w:tc>
      </w:tr>
      <w:tr>
        <w:trPr>
          <w:cantSplit/>
        </w:trPr>
        <w:tc>
          <w:tcPr>
            <w:tcW w:type="dxa" w:w="2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Agility Digit</w:t>
            </w:r>
          </w:p>
        </w:tc>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not stated</w:t>
            </w:r>
          </w:p>
        </w:tc>
        <w:tc>
          <w:tcPr>
            <w:tcW w:type="dxa" w:w="27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up to 4 h; deployed cycles ≈90 min run / 9 min charge</w:t>
            </w:r>
          </w:p>
        </w:tc>
        <w:tc>
          <w:tcPr>
            <w:tcW w:type="dxa" w:w="27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Agility (Mar 2025); IEEE Spectrum (Sep 2025)</w:t>
            </w:r>
          </w:p>
        </w:tc>
      </w:tr>
      <w:tr>
        <w:trPr>
          <w:cantSplit/>
        </w:trPr>
        <w:tc>
          <w:tcPr>
            <w:tcW w:type="dxa" w:w="20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Apptronik Apollo</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not stated</w:t>
            </w:r>
          </w:p>
        </w:tc>
        <w:tc>
          <w:tcPr>
            <w:tcW w:type="dxa" w:w="27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4 h, swappable</w:t>
            </w:r>
          </w:p>
        </w:tc>
        <w:tc>
          <w:tcPr>
            <w:tcW w:type="dxa" w:w="27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The Robot Report (Aug 2023)</w:t>
            </w:r>
          </w:p>
        </w:tc>
      </w:tr>
      <w:tr>
        <w:trPr>
          <w:cantSplit/>
        </w:trPr>
        <w:tc>
          <w:tcPr>
            <w:tcW w:type="dxa" w:w="2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Boston Dynamics Atlas (electric)</w:t>
            </w:r>
          </w:p>
        </w:tc>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not stated</w:t>
            </w:r>
          </w:p>
        </w:tc>
        <w:tc>
          <w:tcPr>
            <w:tcW w:type="dxa" w:w="27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4 h; 2 h with heavy lifting; 1.5 h charge</w:t>
            </w:r>
          </w:p>
        </w:tc>
        <w:tc>
          <w:tcPr>
            <w:tcW w:type="dxa" w:w="27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Atlas spec sheet (Dec 2025)</w:t>
            </w:r>
          </w:p>
        </w:tc>
      </w:tr>
    </w:tbl>
    <w:p>
      <w:pPr>
        <w:spacing w:after="80"/>
      </w:pPr>
    </w:p>
    <w:p>
      <w:pPr>
        <w:spacing w:after="140" w:before="0" w:line="276"/>
        <w:jc w:val="left"/>
      </w:pPr>
      <w:r>
        <w:rPr>
          <w:rFonts w:ascii="Calibri" w:cs="Calibri" w:eastAsia="Calibri" w:hAnsi="Calibri"/>
          <w:color w:val="1B2433"/>
          <w:sz w:val="22"/>
          <w:szCs w:val="22"/>
        </w:rPr>
        <w:t xml:space="preserve">The peer-reviewed literature on robot energetics puts humanoids at 150–400 W at rest against 60–80 W for a human, and 5–10× less efficient than humans in locomotion [32]. A fair one-line summary is that today’s humanoids carry a few kilowatt-hours and run for hours, not days, at a few hundred watts average.</w:t>
      </w:r>
    </w:p>
    <w:p>
      <w:pPr>
        <w:pStyle w:val="Heading2"/>
        <w:spacing w:after="120" w:before="260"/>
      </w:pPr>
      <w:r>
        <w:rPr>
          <w:rFonts w:ascii="Cambria" w:cs="Cambria" w:eastAsia="Cambria" w:hAnsi="Cambria"/>
          <w:b/>
          <w:bCs/>
          <w:color w:val="1B2433"/>
          <w:sz w:val="27"/>
          <w:szCs w:val="27"/>
        </w:rPr>
        <w:t xml:space="preserve">3.4 What “useful” would mean — and how far away any reported effect is</w:t>
      </w:r>
    </w:p>
    <w:p>
      <w:pPr>
        <w:spacing w:after="140" w:before="0" w:line="276"/>
        <w:jc w:val="left"/>
      </w:pPr>
      <w:r>
        <w:rPr>
          <w:rFonts w:ascii="Calibri" w:cs="Calibri" w:eastAsia="Calibri" w:hAnsi="Calibri"/>
          <w:color w:val="1B2433"/>
          <w:sz w:val="22"/>
          <w:szCs w:val="22"/>
        </w:rPr>
        <w:t xml:space="preserve">For the motivating application, a source would have to deliver on the order of 10² W continuously at a mass and volume a humanoid can carry. The only peer-reviewed report of an unexplained electrical output tied to a Casimir cavity (Section 4.5) is 1.4 picowatts from a single device: fourteen orders of magnitude below that bar. EnergyWave states this at the outset so that no reader mistakes Gate 1 for a product milestone. Gate 1 asks whether there is any real effect at all; Gate 3, if it is ever reached, asks whether it scales. Nothing in this document should be read as a path to a product.</w:t>
      </w:r>
    </w:p>
    <w:p>
      <w:pPr>
        <w:pStyle w:val="Heading1"/>
        <w:spacing w:after="160" w:before="360"/>
      </w:pPr>
      <w:r>
        <w:rPr>
          <w:rFonts w:ascii="Cambria" w:cs="Cambria" w:eastAsia="Cambria" w:hAnsi="Cambria"/>
          <w:b/>
          <w:bCs/>
          <w:color w:val="1B2433"/>
          <w:sz w:val="34"/>
          <w:szCs w:val="34"/>
        </w:rPr>
        <w:t xml:space="preserve">4. Scientific background, labelled by evidentiary status</w:t>
      </w:r>
    </w:p>
    <w:p>
      <w:pPr>
        <w:spacing w:after="140" w:before="0" w:line="276"/>
        <w:jc w:val="left"/>
      </w:pPr>
      <w:r>
        <w:rPr>
          <w:rFonts w:ascii="Calibri" w:cs="Calibri" w:eastAsia="Calibri" w:hAnsi="Calibri"/>
          <w:color w:val="1B2433"/>
          <w:sz w:val="22"/>
          <w:szCs w:val="22"/>
        </w:rPr>
        <w:t xml:space="preserve">Each subsection carries a status label. Established means replicated, textbook-level. Observed means a peer-reviewed experimental result that is replicated or widely accepted. Proposed means theory or patent without experimental demonstration. Claimed, not replicated means an experimental claim without independent replication. Disputed means published criticism exists and the matter is not settled in the claimant’s favour. The full reference list with DOIs is Appendix A; every item was checked against a primary source on 7 September 2026.</w:t>
      </w:r>
    </w:p>
    <w:p>
      <w:pPr>
        <w:pStyle w:val="Heading2"/>
        <w:spacing w:after="120" w:before="260"/>
      </w:pPr>
      <w:r>
        <w:rPr>
          <w:rFonts w:ascii="Cambria" w:cs="Cambria" w:eastAsia="Cambria" w:hAnsi="Cambria"/>
          <w:b/>
          <w:bCs/>
          <w:color w:val="1B2433"/>
          <w:sz w:val="27"/>
          <w:szCs w:val="27"/>
        </w:rPr>
        <w:t xml:space="preserve">4.1 Zero-point energy and the Casimir effect — ESTABLISHED</w:t>
      </w:r>
    </w:p>
    <w:p>
      <w:pPr>
        <w:spacing w:after="140" w:before="0" w:line="276"/>
        <w:jc w:val="left"/>
      </w:pPr>
      <w:r>
        <w:rPr>
          <w:rFonts w:ascii="Calibri" w:cs="Calibri" w:eastAsia="Calibri" w:hAnsi="Calibri"/>
          <w:color w:val="1B2433"/>
          <w:sz w:val="22"/>
          <w:szCs w:val="22"/>
        </w:rPr>
        <w:t xml:space="preserve">In quantum electrodynamics each mode of the electromagnetic field has a ground-state energy of ½ħω. In 1948 Casimir showed that two neutral, perfectly conducting parallel plates alter the mode spectrum between them and that the difference in zero-point energy with and without the plates corresponds to an attractive pressure P(a) = −π²ħc/(240 a⁴) at separation a [1]. The authoritative review by Klimchitskaya, Mohideen and Mostepanenko defines the Casimir energy exactly this way — as a difference of zero-point energies — and reports total experimental errors as low as 0.2% at 160 nm separation [5].</w:t>
      </w:r>
    </w:p>
    <w:p>
      <w:pPr>
        <w:spacing w:after="140" w:before="0" w:line="276"/>
        <w:jc w:val="left"/>
      </w:pPr>
      <w:r>
        <w:rPr>
          <w:rFonts w:ascii="Calibri" w:cs="Calibri" w:eastAsia="Calibri" w:hAnsi="Calibri"/>
          <w:color w:val="1B2433"/>
          <w:sz w:val="22"/>
          <w:szCs w:val="22"/>
        </w:rPr>
        <w:t xml:space="preserve">The modern measurements are: Lamoreaux’s torsion-pendulum, sphere–plate demonstration over 0.6–6 μm, agreeing with theory “at the level of 5%” (a figure later qualified by an erratum and a published comment on finite-conductivity corrections) [2]; Mohideen and Roy’s atomic-force-microscope measurement from 0.1 to 0.9 μm with about 1% agreement at the smallest separation [3]; and the one classic parallel-plate measurement, by Bressi and colleagues, precise only to about 15% because of the difficulty of aligning plates [4]. EnergyWave notes the last point because its own cavities are parallel-plate structures: percent-level Casimir metrology is a sphere–plate art.</w:t>
      </w:r>
    </w:p>
    <w:p>
      <w:pPr>
        <w:pStyle w:val="Heading2"/>
        <w:spacing w:after="120" w:before="260"/>
      </w:pPr>
      <w:r>
        <w:rPr>
          <w:rFonts w:ascii="Cambria" w:cs="Cambria" w:eastAsia="Cambria" w:hAnsi="Cambria"/>
          <w:b/>
          <w:bCs/>
          <w:color w:val="1B2433"/>
          <w:sz w:val="27"/>
          <w:szCs w:val="27"/>
        </w:rPr>
        <w:t xml:space="preserve">4.2 Engineering the Casimir force — OBSERVED</w:t>
      </w:r>
    </w:p>
    <w:p>
      <w:pPr>
        <w:spacing w:after="140" w:before="0" w:line="276"/>
        <w:jc w:val="left"/>
      </w:pPr>
      <w:r>
        <w:rPr>
          <w:rFonts w:ascii="Calibri" w:cs="Calibri" w:eastAsia="Calibri" w:hAnsi="Calibri"/>
          <w:color w:val="1B2433"/>
          <w:sz w:val="22"/>
          <w:szCs w:val="22"/>
        </w:rPr>
        <w:t xml:space="preserve">The force is not only measurable but controllable, which is the technical premise behind every proposal in Section 4.4. Intravaia and colleagues showed that deep metallic nanostructuring of one surface suppresses the force strongly — by more than a factor of two relative to the proximity-force approximation at large separation — and that even full modal calculations over-predict the measured force, an unresolved theory–experiment gap [7]. Munday, Capasso and Parsegian measured a repulsive Casimir–Lifshitz force between gold and silica immersed in bromobenzene, exactly as Lifshitz theory predicts when the fluid’s dielectric response lies between those of the two solids [6]. Zhao and colleagues in Xiang Zhang’s group produced a stable equilibrium — “quantum trapping” — of a gold flake above a Teflon-coated gold plate in ethanol, with no external energy input [8]. Somers and colleagues measured the Casimir torque between birefringent materials [9], and a 2024 experiment switched the force between attraction and repulsion with a magnetic field in a ferrofluid [10]. Graphene modifies the force gradient by up to about 9% at 224 nm and shows an unusually large thermal contribution, all in agreement with Lifshitz theory using the Dirac model of graphene [11, 12].</w:t>
      </w:r>
    </w:p>
    <w:p>
      <w:pPr>
        <w:spacing w:after="140" w:before="0" w:line="276"/>
        <w:jc w:val="left"/>
      </w:pPr>
      <w:r>
        <w:rPr>
          <w:rFonts w:ascii="Calibri" w:cs="Calibri" w:eastAsia="Calibri" w:hAnsi="Calibri"/>
          <w:b/>
          <w:bCs/>
          <w:color w:val="1B2433"/>
          <w:sz w:val="22"/>
          <w:szCs w:val="22"/>
        </w:rPr>
        <w:t xml:space="preserve">Two cautions that EnergyWave adopts as its own. </w:t>
      </w:r>
      <w:r>
        <w:rPr>
          <w:rFonts w:ascii="Calibri" w:cs="Calibri" w:eastAsia="Calibri" w:hAnsi="Calibri"/>
          <w:color w:val="1B2433"/>
          <w:sz w:val="22"/>
          <w:szCs w:val="22"/>
        </w:rPr>
        <w:t xml:space="preserve">First, every measured repulsion uses an intervening liquid; no repulsive Casimir force in vacuum has been measured, and Rosa, Dalvit and Milonni showed that the metamaterial route to vacuum repulsion is destroyed by even a small Drude background in metallic metamaterials [13]. Second, every experiment in this subsection measures a static, conservative force or its geometry dependence. Force engineering is real; energy extraction is a different question.</w:t>
      </w:r>
    </w:p>
    <w:p>
      <w:pPr>
        <w:pStyle w:val="Heading2"/>
        <w:spacing w:after="120" w:before="260"/>
      </w:pPr>
      <w:r>
        <w:rPr>
          <w:rFonts w:ascii="Cambria" w:cs="Cambria" w:eastAsia="Cambria" w:hAnsi="Cambria"/>
          <w:b/>
          <w:bCs/>
          <w:color w:val="1B2433"/>
          <w:sz w:val="27"/>
          <w:szCs w:val="27"/>
        </w:rPr>
        <w:t xml:space="preserve">4.3 The dynamical Casimir effect — OBSERVED, energy supplied by the pump</w:t>
      </w:r>
    </w:p>
    <w:p>
      <w:pPr>
        <w:spacing w:after="140" w:before="0" w:line="276"/>
        <w:jc w:val="left"/>
      </w:pPr>
      <w:r>
        <w:rPr>
          <w:rFonts w:ascii="Calibri" w:cs="Calibri" w:eastAsia="Calibri" w:hAnsi="Calibri"/>
          <w:color w:val="1B2433"/>
          <w:sz w:val="22"/>
          <w:szCs w:val="22"/>
        </w:rPr>
        <w:t xml:space="preserve">Vacuum fluctuations can be converted into real photons by a boundary that moves at an appreciable fraction of the speed of light. Wilson and colleagues observed this in 2011 by flux-pumping a SQUID that terminates a superconducting waveguide at about 11 GHz, producing broadband microwave photons with two-mode squeezing [14]; Lähteenmäki and colleagues reproduced the effect on a second platform, a Josephson metamaterial, in 2013 [15]; the theory is reviewed by Nation and colleagues [16]. The photons appear in pairs whose frequencies sum to the drive frequency, ω₁ + ω₂ = ω_d, which is the paper’s own statement of where the energy comes from: the external pump. The dynamical Casimir effect is a parametric amplifier seeded by vacuum noise, not an energy source, and EnergyWave will not describe it otherwise.</w:t>
      </w:r>
    </w:p>
    <w:p>
      <w:pPr>
        <w:pStyle w:val="Heading2"/>
        <w:spacing w:after="120" w:before="260"/>
      </w:pPr>
      <w:r>
        <w:rPr>
          <w:rFonts w:ascii="Cambria" w:cs="Cambria" w:eastAsia="Cambria" w:hAnsi="Cambria"/>
          <w:b/>
          <w:bCs/>
          <w:color w:val="1B2433"/>
          <w:sz w:val="27"/>
          <w:szCs w:val="27"/>
        </w:rPr>
        <w:t xml:space="preserve">4.4 Proposals for energy extraction — PROPOSED</w:t>
      </w:r>
    </w:p>
    <w:p>
      <w:pPr>
        <w:spacing w:after="140" w:before="0" w:line="276"/>
        <w:jc w:val="left"/>
      </w:pPr>
      <w:r>
        <w:rPr>
          <w:rFonts w:ascii="Calibri" w:cs="Calibri" w:eastAsia="Calibri" w:hAnsi="Calibri"/>
          <w:color w:val="1B2433"/>
          <w:sz w:val="22"/>
          <w:szCs w:val="22"/>
        </w:rPr>
        <w:t xml:space="preserve">Forward’s 1984 “vacuum-fluctuation battery” stacks like-charged foils whose Casimir attraction does work against electrostatic repulsion as they close; his abstract states that the battery “can be recharged” by driving the foils apart again, which is to say that it stores and releases energy once and that re-separation costs at least what was gained [17]. Pinto’s 1999 optically controlled “engine cycle” argued that switching a semiconductor plate’s dielectric response by illumination allows the work of the Casimir force around a closed path not to vanish [18]; the objection — that the force is conservative and that whatever changes the boundary conditions must itself be paid for — is set out by Moddel and Dmitriyeva, who conclude that cyclic Casimir-plate schemes “cannot work” [21]. The Haisch–Moddel patent proposes passing gas atoms through sub-micron Casimir cavities so that suppressed vacuum modes lower the atoms’ electronic energy, with the deficit emitted as radiation and restored by the ambient field on exit [19]; this rests on a stochastic-electrodynamics conjecture rather than standard QED, and the authors’ own test found emission three orders of magnitude below prediction, which they describe as “tantalizing but inconclusive” [20, 21].</w:t>
      </w:r>
    </w:p>
    <w:p>
      <w:pPr>
        <w:spacing w:after="60" w:line="264"/>
        <w:ind w:left="720" w:right="720"/>
      </w:pPr>
      <w:r>
        <w:rPr>
          <w:rFonts w:ascii="Cambria" w:cs="Cambria" w:eastAsia="Cambria" w:hAnsi="Cambria"/>
          <w:i/>
          <w:iCs/>
          <w:color w:val="1B2433"/>
          <w:sz w:val="22"/>
          <w:szCs w:val="22"/>
        </w:rPr>
        <w:t xml:space="preserve">“None of the proposals have been reliably demonstrated, yet they remain largely unchallenged.”</w:t>
      </w:r>
    </w:p>
    <w:p>
      <w:pPr>
        <w:spacing w:after="160"/>
        <w:ind w:left="720" w:right="720"/>
      </w:pPr>
      <w:r>
        <w:rPr>
          <w:rFonts w:ascii="Calibri" w:cs="Calibri" w:eastAsia="Calibri" w:hAnsi="Calibri"/>
          <w:color w:val="5B6B7F"/>
          <w:sz w:val="19"/>
          <w:szCs w:val="19"/>
        </w:rPr>
        <w:t xml:space="preserve">— Moddel and Dmitriyeva, Atoms 7, 51 (2019) [21] — a review written by proponents</w:t>
      </w:r>
    </w:p>
    <w:p>
      <w:pPr>
        <w:pStyle w:val="Heading2"/>
        <w:spacing w:after="120" w:before="260"/>
      </w:pPr>
      <w:r>
        <w:rPr>
          <w:rFonts w:ascii="Cambria" w:cs="Cambria" w:eastAsia="Cambria" w:hAnsi="Cambria"/>
          <w:b/>
          <w:bCs/>
          <w:color w:val="1B2433"/>
          <w:sz w:val="27"/>
          <w:szCs w:val="27"/>
        </w:rPr>
        <w:t xml:space="preserve">4.5 Experimental claims — CLAIMED, NOT REPLICATED; mechanism DISPUTED</w:t>
      </w:r>
    </w:p>
    <w:p>
      <w:pPr>
        <w:spacing w:after="140" w:before="0" w:line="276"/>
        <w:jc w:val="left"/>
      </w:pPr>
      <w:r>
        <w:rPr>
          <w:rFonts w:ascii="Calibri" w:cs="Calibri" w:eastAsia="Calibri" w:hAnsi="Calibri"/>
          <w:color w:val="1B2433"/>
          <w:sz w:val="22"/>
          <w:szCs w:val="22"/>
        </w:rPr>
        <w:t xml:space="preserve">Two 2021 papers from Garret Moddel’s group at the University of Colorado are the only peer-reviewed reports of an unexplained direct electrical output associated with a Casimir cavity, and they are the reason Gate 1 is designed the way it is.</w:t>
      </w:r>
    </w:p>
    <w:p>
      <w:pPr>
        <w:spacing w:after="140" w:before="0" w:line="276"/>
        <w:jc w:val="left"/>
      </w:pPr>
      <w:r>
        <w:rPr>
          <w:rFonts w:ascii="Calibri" w:cs="Calibri" w:eastAsia="Calibri" w:hAnsi="Calibri"/>
          <w:color w:val="1B2433"/>
          <w:sz w:val="22"/>
          <w:szCs w:val="22"/>
        </w:rPr>
        <w:t xml:space="preserve">The first, in Physical Review Research, reports that Ni/NiOₓ–Al₂O₃/Pd metal–insulator–metal (MIM) diodes overlaid with a PMMA- or SiO₂-filled cavity of 33–1100 nm and an aluminium mirror show a differential conductance that rises about fifty-fold as the cavity thins, across more than 550 devices in 15 batches; the authors propose that the cavity suppresses vacuum modes and unbalances hot-carrier injection from the two electrodes. That paper does not claim energy extraction, and flags small unexplained current and voltage offsets for further study [22].</w:t>
      </w:r>
    </w:p>
    <w:p>
      <w:pPr>
        <w:spacing w:after="140" w:before="0" w:line="276"/>
        <w:jc w:val="left"/>
      </w:pPr>
      <w:r>
        <w:rPr>
          <w:rFonts w:ascii="Calibri" w:cs="Calibri" w:eastAsia="Calibri" w:hAnsi="Calibri"/>
          <w:color w:val="1B2433"/>
          <w:sz w:val="22"/>
          <w:szCs w:val="22"/>
        </w:rPr>
        <w:t xml:space="preserve">The second, in the MDPI journal Symmetry, reports that the same structures produce a short-circuit current in the nanoampere range and an open-circuit voltage in the millivolt range with no applied bias, with a maximum reported power of 1.4 pW “in a 0.02 μm² area” for a 33-nm cavity; trends are said to be replicated in over 1,000 devices in 21 batches, all in the same laboratory; artifact tests for electromagnetic pickup, thermoelectric effects and leakage are reported as negative; and the authors describe their zero-point-fluctuation model as conjectural [23]. No independent experimental replication has been published. Maclay’s 2024 analysis concludes that the cavity as built would enhance rather than suppress the relevant vacuum modes, predicting a current of the opposite sign to the one observed, and that “the proposed mechanism of operation does not appear correct” [24].</w:t>
      </w:r>
    </w:p>
    <w:p>
      <w:pPr>
        <w:spacing w:after="140" w:before="0" w:line="276"/>
        <w:jc w:val="left"/>
      </w:pPr>
      <w:r>
        <w:rPr>
          <w:rFonts w:ascii="Calibri" w:cs="Calibri" w:eastAsia="Calibri" w:hAnsi="Calibri"/>
          <w:b/>
          <w:bCs/>
          <w:color w:val="1B2433"/>
          <w:sz w:val="22"/>
          <w:szCs w:val="22"/>
        </w:rPr>
        <w:t xml:space="preserve">How EnergyWave will describe these results. </w:t>
      </w:r>
      <w:r>
        <w:rPr>
          <w:rFonts w:ascii="Calibri" w:cs="Calibri" w:eastAsia="Calibri" w:hAnsi="Calibri"/>
          <w:color w:val="1B2433"/>
          <w:sz w:val="22"/>
          <w:szCs w:val="22"/>
        </w:rPr>
        <w:t xml:space="preserve">By their absolute numbers — 1.4 pW — not by the power density (about 70 W/m²) that the printed 0.02 μm² area implies and that circulates online; that area is unusually small for shadow-mask devices and is inconsistent with the 5–100 μm device sizes described elsewhere in the paper, so the density is unverified. The conductance paper will not be cited as if it claimed power. The Symmetry, Atoms and Physics venues are MDPI journals; the one result in a mainstream APS venue reports conductance changes, not output.</w:t>
      </w:r>
    </w:p>
    <w:p>
      <w:pPr>
        <w:spacing w:after="140" w:before="0" w:line="276"/>
        <w:jc w:val="left"/>
      </w:pPr>
      <w:r>
        <w:rPr>
          <w:rFonts w:ascii="Calibri" w:cs="Calibri" w:eastAsia="Calibri" w:hAnsi="Calibri"/>
          <w:b/>
          <w:bCs/>
          <w:color w:val="1B2433"/>
          <w:sz w:val="22"/>
          <w:szCs w:val="22"/>
        </w:rPr>
        <w:t xml:space="preserve">Adjacent company claim. </w:t>
      </w:r>
      <w:r>
        <w:rPr>
          <w:rFonts w:ascii="Calibri" w:cs="Calibri" w:eastAsia="Calibri" w:hAnsi="Calibri"/>
          <w:color w:val="1B2433"/>
          <w:sz w:val="22"/>
          <w:szCs w:val="22"/>
        </w:rPr>
        <w:t xml:space="preserve">In May 2026 Casimir Inc. announced a battery-free “MicroSparc” chip said to target 1.5 V at 25 μA (about 40 μW) from a 5 mm × 5 mm device, citing one theoretical paper; press coverage notes no independent reproduction and that the product claim is unproven [38]. EnergyWave takes no position on it beyond the obvious one: it is a company claim with no peer-reviewed device data, and it will be asked about.</w:t>
      </w:r>
    </w:p>
    <w:p>
      <w:pPr>
        <w:pStyle w:val="Heading2"/>
        <w:spacing w:after="120" w:before="260"/>
      </w:pPr>
      <w:r>
        <w:rPr>
          <w:rFonts w:ascii="Cambria" w:cs="Cambria" w:eastAsia="Cambria" w:hAnsi="Cambria"/>
          <w:b/>
          <w:bCs/>
          <w:color w:val="1B2433"/>
          <w:sz w:val="27"/>
          <w:szCs w:val="27"/>
        </w:rPr>
        <w:t xml:space="preserve">4.6 The thermodynamic constraints — the program’s null hypothesis</w:t>
      </w:r>
    </w:p>
    <w:p>
      <w:pPr>
        <w:spacing w:after="140" w:before="0" w:line="276"/>
        <w:jc w:val="left"/>
      </w:pPr>
      <w:r>
        <w:rPr>
          <w:rFonts w:ascii="Calibri" w:cs="Calibri" w:eastAsia="Calibri" w:hAnsi="Calibri"/>
          <w:b/>
          <w:bCs/>
          <w:color w:val="1B2433"/>
          <w:sz w:val="22"/>
          <w:szCs w:val="22"/>
        </w:rPr>
        <w:t xml:space="preserve">Ground state. </w:t>
      </w:r>
      <w:r>
        <w:rPr>
          <w:rFonts w:ascii="Calibri" w:cs="Calibri" w:eastAsia="Calibri" w:hAnsi="Calibri"/>
          <w:color w:val="1B2433"/>
          <w:sz w:val="22"/>
          <w:szCs w:val="22"/>
        </w:rPr>
        <w:t xml:space="preserve">The vacuum is, by definition, the lowest-energy state of the field. The Casimir energy is not energy in the vacuum that can be tapped; it is the difference between the zero-point energy with a given set of boundaries and without them [1, 5]. Because that difference is a function of geometry alone, the Casimir force is conservative: the work it does when two plates approach equals the work required to separate them again. Forward’s paper is honest about this [17]; so are the field’s proponents [21]. Schemes that try to reduce the force before re-separation must pay for whatever changes the boundary conditions, and the accounting shows the cost is at least the energy gained. As Baez put it: “the vacuum state of the interacting theory is the state of least energy in reality, there is no way to extract the vacuum energy” [28]. Milonni’s textbook is the standard reference for the underlying physics [27].</w:t>
      </w:r>
    </w:p>
    <w:p>
      <w:pPr>
        <w:spacing w:after="140" w:before="0" w:line="276"/>
        <w:jc w:val="left"/>
      </w:pPr>
      <w:r>
        <w:rPr>
          <w:rFonts w:ascii="Calibri" w:cs="Calibri" w:eastAsia="Calibri" w:hAnsi="Calibri"/>
          <w:b/>
          <w:bCs/>
          <w:color w:val="1B2433"/>
          <w:sz w:val="22"/>
          <w:szCs w:val="22"/>
        </w:rPr>
        <w:t xml:space="preserve">Second law and detailed balance. </w:t>
      </w:r>
      <w:r>
        <w:rPr>
          <w:rFonts w:ascii="Calibri" w:cs="Calibri" w:eastAsia="Calibri" w:hAnsi="Calibri"/>
          <w:color w:val="1B2433"/>
          <w:sz w:val="22"/>
          <w:szCs w:val="22"/>
        </w:rPr>
        <w:t xml:space="preserve">A device delivering steady work from a single equilibrium reservoir — thermal or zero-point — is a perpetual-motion machine of the second kind. Brillouin showed in 1950 that a diode cannot rectify the Johnson noise of a resistor at the same temperature, because the diode’s own carriers are subject to identical fluctuations; detailed balance cancels the forward and reverse fluctuation currents, and rectification appears only if an external agent maintains a temperature difference [25]. Feynman’s ratchet and pawl is the mechanical version: at a single temperature the pawl fluctuates as often as the vanes and the wheel makes no net progress [26]. An MIM diode under a cavity is a nonlinear element in a fluctuating field. Unless a proposal can show where entropy is being exported — which reservoir is being depleted — it inherits Brillouin’s verdict.</w:t>
      </w:r>
    </w:p>
    <w:p>
      <w:pPr>
        <w:spacing w:after="140" w:before="0" w:line="276"/>
        <w:jc w:val="left"/>
      </w:pPr>
      <w:r>
        <w:rPr>
          <w:rFonts w:ascii="Calibri" w:cs="Calibri" w:eastAsia="Calibri" w:hAnsi="Calibri"/>
          <w:b/>
          <w:bCs/>
          <w:color w:val="1B2433"/>
          <w:sz w:val="22"/>
          <w:szCs w:val="22"/>
        </w:rPr>
        <w:t xml:space="preserve">What the experiments actually show. </w:t>
      </w:r>
      <w:r>
        <w:rPr>
          <w:rFonts w:ascii="Calibri" w:cs="Calibri" w:eastAsia="Calibri" w:hAnsi="Calibri"/>
          <w:color w:val="1B2433"/>
          <w:sz w:val="22"/>
          <w:szCs w:val="22"/>
        </w:rPr>
        <w:t xml:space="preserve">Every peer-reviewed Casimir experiment in Sections 4.1–4.2 measures a static, conservative force or its geometry dependence. The dynamical Casimir effect makes real photons, paid for by the pump. The only reports of unexplained DC output are picowatt-level, from one laboratory, unreplicated and criticized on mechanism. Physics Today’s 2021 survey of the field describes force engineering and MEMS applications and no energy-extraction result [29]. That is the correct baseline: a genuine open experimental question sits on top of a strong theoretical prior that the answer is “no net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C" w:sz="4"/>
              <w:left w:val="single" w:color="C9D2DC" w:sz="4"/>
              <w:bottom w:val="single" w:color="C9D2DC" w:sz="4"/>
              <w:right w:val="single" w:color="C9D2DC" w:sz="4"/>
            </w:tcBorders>
            <w:shd w:fill="EEF3F7" w:color="auto" w:val="clear"/>
            <w:tcMar>
              <w:top w:type="dxa" w:w="120"/>
              <w:left w:type="dxa" w:w="160"/>
              <w:bottom w:type="dxa" w:w="120"/>
              <w:right w:type="dxa" w:w="160"/>
            </w:tcMar>
          </w:tcPr>
          <w:p>
            <w:pPr>
              <w:spacing w:after="60"/>
            </w:pPr>
            <w:r>
              <w:rPr>
                <w:rFonts w:ascii="Calibri" w:cs="Calibri" w:eastAsia="Calibri" w:hAnsi="Calibri"/>
                <w:b/>
                <w:bCs/>
                <w:color w:val="0F766E"/>
                <w:sz w:val="21"/>
                <w:szCs w:val="21"/>
              </w:rPr>
              <w:t xml:space="preserve">The null hypothesis, stated so it can be rejected</w:t>
            </w:r>
          </w:p>
          <w:p>
            <w:pPr>
              <w:spacing w:after="60" w:line="264"/>
            </w:pPr>
            <w:r>
              <w:rPr>
                <w:rFonts w:ascii="Calibri" w:cs="Calibri" w:eastAsia="Calibri" w:hAnsi="Calibri"/>
                <w:color w:val="1B2433"/>
                <w:sz w:val="20"/>
                <w:szCs w:val="20"/>
              </w:rPr>
              <w:t xml:space="preserve">H0: No engineered nanostructure in the EnergyWave program produces electrical output that (a) exceeds the fully characterized noise and artifact floor of the measurement platform in blinded runs, and (b) cannot be accounted for by thermal gradients, ambient electromagnetic pickup, chemical or contact potentials, photo-effects, stored charge or instrument offsets.</w:t>
            </w:r>
          </w:p>
          <w:p>
            <w:pPr>
              <w:spacing w:after="60" w:line="264"/>
            </w:pPr>
            <w:r>
              <w:rPr>
                <w:rFonts w:ascii="Calibri" w:cs="Calibri" w:eastAsia="Calibri" w:hAnsi="Calibri"/>
                <w:color w:val="1B2433"/>
                <w:sz w:val="20"/>
                <w:szCs w:val="20"/>
              </w:rPr>
              <w:t xml:space="preserve">EnergyWave’s program is designed to fail to reject H0 cleanly and publicly if H0 is true, at the cost of Tranche A.</w:t>
            </w:r>
          </w:p>
        </w:tc>
      </w:tr>
    </w:tbl>
    <w:p>
      <w:pPr>
        <w:pStyle w:val="Heading2"/>
        <w:spacing w:after="120" w:before="260"/>
      </w:pPr>
      <w:r>
        <w:rPr>
          <w:rFonts w:ascii="Cambria" w:cs="Cambria" w:eastAsia="Cambria" w:hAnsi="Cambria"/>
          <w:b/>
          <w:bCs/>
          <w:color w:val="1B2433"/>
          <w:sz w:val="27"/>
          <w:szCs w:val="27"/>
        </w:rPr>
        <w:t xml:space="preserve">4.7 Non-vacuum explanations that would still be physics — and still be published</w:t>
      </w:r>
    </w:p>
    <w:p>
      <w:pPr>
        <w:spacing w:after="140" w:before="0" w:line="276"/>
        <w:jc w:val="left"/>
      </w:pPr>
      <w:r>
        <w:rPr>
          <w:rFonts w:ascii="Calibri" w:cs="Calibri" w:eastAsia="Calibri" w:hAnsi="Calibri"/>
          <w:color w:val="1B2433"/>
          <w:sz w:val="22"/>
          <w:szCs w:val="22"/>
        </w:rPr>
        <w:t xml:space="preserve">A positive Gate 1 result would not, by itself, mean anything about the vacuum. The most likely explanation for any real, repeatable output from a nanoscale cavity device is that the device is a small heat engine running on a temperature difference nobody controlled for. That is legitimate physics with well-known limits, and it is the first thing Gate 2’s calorimetry is designed to detect. Radiative heat transfer across sub-wavelength vacuum gaps — the near-field regime treated by Polder and Van Hove in 1971 [30] — exceeds the far-field blackbody limit by orders of magnitude, and nanogap near-field thermophotovoltaic devices have converted it to electricity in the laboratory [31]. If EnergyWave’s cavities turn out to be doing something of that kind, the program will say so, publish it, and evaluate it as what it is: a heat engine whose Carnot bound is set by the temperature difference available, not a new source.</w:t>
      </w:r>
    </w:p>
    <w:p>
      <w:pPr>
        <w:pStyle w:val="Heading1"/>
        <w:spacing w:after="160" w:before="360"/>
      </w:pPr>
      <w:r>
        <w:rPr>
          <w:rFonts w:ascii="Cambria" w:cs="Cambria" w:eastAsia="Cambria" w:hAnsi="Cambria"/>
          <w:b/>
          <w:bCs/>
          <w:color w:val="1B2433"/>
          <w:sz w:val="34"/>
          <w:szCs w:val="34"/>
        </w:rPr>
        <w:t xml:space="preserve">5. Research hypotheses and falsification criteria</w:t>
      </w:r>
    </w:p>
    <w:p>
      <w:pPr>
        <w:spacing w:after="140" w:before="0" w:line="276"/>
        <w:jc w:val="left"/>
      </w:pPr>
      <w:r>
        <w:rPr>
          <w:rFonts w:ascii="Calibri" w:cs="Calibri" w:eastAsia="Calibri" w:hAnsi="Calibri"/>
          <w:color w:val="1B2433"/>
          <w:sz w:val="22"/>
          <w:szCs w:val="22"/>
        </w:rPr>
        <w:t xml:space="preserve">The program tests a nested chain of alternative hypotheses. Each is stated with the observation that would falsify it. A hypothesis lower in the chain is not tested unless the one above it survives.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960"/>
        <w:gridCol w:w="1500"/>
      </w:tblGrid>
      <w:tr>
        <w:trPr>
          <w:tblHeader/>
        </w:trPr>
        <w:tc>
          <w:tcPr>
            <w:tcW w:type="dxa" w:w="15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Hypothesis</w:t>
            </w:r>
          </w:p>
        </w:tc>
        <w:tc>
          <w:tcPr>
            <w:tcW w:type="dxa" w:w="34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Statement</w:t>
            </w:r>
          </w:p>
        </w:tc>
        <w:tc>
          <w:tcPr>
            <w:tcW w:type="dxa" w:w="296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Falsified if</w:t>
            </w:r>
          </w:p>
        </w:tc>
        <w:tc>
          <w:tcPr>
            <w:tcW w:type="dxa" w:w="15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Tested at</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H1a — Existence</w:t>
            </w:r>
          </w:p>
        </w:tc>
        <w:tc>
          <w:tcPr>
            <w:tcW w:type="dxa" w:w="34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MIM diodes under a Casimir cavity, fabricated to the published recipe, produce a zero-bias short-circuit current and open-circuit voltage that depend on cavity thickness, above the platform’s artifact floor, in blinded runs.</w:t>
            </w:r>
          </w:p>
        </w:tc>
        <w:tc>
          <w:tcPr>
            <w:tcW w:type="dxa" w:w="29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No cavity-thickness-dependent output above the artifact floor at ≥5σ; or output present equally in no-cavity twin devices.</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1, Workstream 1A</w:t>
            </w:r>
          </w:p>
        </w:tc>
      </w:tr>
      <w:tr>
        <w:trPr>
          <w:cantSplit/>
        </w:trPr>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H1b — Not an artifact</w:t>
            </w:r>
          </w:p>
        </w:tc>
        <w:tc>
          <w:tcPr>
            <w:tcW w:type="dxa" w:w="34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The output survives the full exclusion protocol (Section 6.4): isothermal enclosure, EM shielding, photo-blind, discharge tests, twin controls.</w:t>
            </w:r>
          </w:p>
        </w:tc>
        <w:tc>
          <w:tcPr>
            <w:tcW w:type="dxa" w:w="29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Any single exclusion test removes the output or explains its magnitude and sign.</w:t>
            </w:r>
          </w:p>
        </w:tc>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1, Workstream 1A</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H1c — EnergyWave structures</w:t>
            </w:r>
          </w:p>
        </w:tc>
        <w:tc>
          <w:tcPr>
            <w:tcW w:type="dxa" w:w="34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EnergyWave’s own engineered structures [internal device concept — to be specified] produce output under the same protocol.</w:t>
            </w:r>
          </w:p>
        </w:tc>
        <w:tc>
          <w:tcPr>
            <w:tcW w:type="dxa" w:w="29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Same criteria as H1a–H1b.</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1, Workstream 1C</w:t>
            </w:r>
          </w:p>
        </w:tc>
      </w:tr>
      <w:tr>
        <w:trPr>
          <w:cantSplit/>
        </w:trPr>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H2a — Energy balance</w:t>
            </w:r>
          </w:p>
        </w:tc>
        <w:tc>
          <w:tcPr>
            <w:tcW w:type="dxa" w:w="34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Under closed-system calorimetry, the output power is not accounted for by measured heat flows into the device.</w:t>
            </w:r>
          </w:p>
        </w:tc>
        <w:tc>
          <w:tcPr>
            <w:tcW w:type="dxa" w:w="29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The enclosure’s energy balance closes: the device cools its surroundings or draws on a gradient consistent with a heat engine.</w:t>
            </w:r>
          </w:p>
        </w:tc>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2</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H2b — Mechanism</w:t>
            </w:r>
          </w:p>
        </w:tc>
        <w:tc>
          <w:tcPr>
            <w:tcW w:type="dxa" w:w="34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Output scales with cavity geometry, temperature and materials as a specified model predicts (including sign), and is reproduced by an independent laboratory.</w:t>
            </w:r>
          </w:p>
        </w:tc>
        <w:tc>
          <w:tcPr>
            <w:tcW w:type="dxa" w:w="29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Scaling contradicts every candidate model; or external replication fails.</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2</w:t>
            </w:r>
          </w:p>
        </w:tc>
      </w:tr>
      <w:tr>
        <w:trPr>
          <w:cantSplit/>
        </w:trPr>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H3 — Engineerability</w:t>
            </w:r>
          </w:p>
        </w:tc>
        <w:tc>
          <w:tcPr>
            <w:tcW w:type="dxa" w:w="34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Arrays of devices deliver repeatable, independently validated power density with acceptable lifetime.</w:t>
            </w:r>
          </w:p>
        </w:tc>
        <w:tc>
          <w:tcPr>
            <w:tcW w:type="dxa" w:w="29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Scaling, lifetime or stability fails.</w:t>
            </w:r>
          </w:p>
        </w:tc>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3</w:t>
            </w:r>
          </w:p>
        </w:tc>
      </w:tr>
    </w:tbl>
    <w:p>
      <w:pPr>
        <w:spacing w:after="80"/>
      </w:pPr>
    </w:p>
    <w:p>
      <w:pPr>
        <w:spacing w:after="140" w:before="0" w:line="276"/>
        <w:jc w:val="left"/>
      </w:pPr>
      <w:r>
        <w:rPr>
          <w:rFonts w:ascii="Calibri" w:cs="Calibri" w:eastAsia="Calibri" w:hAnsi="Calibri"/>
          <w:color w:val="1B2433"/>
          <w:sz w:val="22"/>
          <w:szCs w:val="22"/>
        </w:rPr>
        <w:t xml:space="preserve">Two features of this chain matter for readers assessing the program. First, H1a is a replication of someone else’s claim, chosen because it is the highest-information experiment available per dollar: if the published effect is an artifact, EnergyWave learns that with controls the original laboratory did not publish; if it is real, the platform is already commissioned to characterize it. Second, H2a is placed before H2b deliberately. The program does not ask “what is the mechanism?” until it has asked “where does the energy come from?”, because a heat-engine explanation ends the vacuum question regardless of the microscopic details.</w:t>
      </w:r>
    </w:p>
    <w:p>
      <w:pPr>
        <w:pStyle w:val="Heading1"/>
        <w:spacing w:after="160" w:before="360"/>
      </w:pPr>
      <w:r>
        <w:rPr>
          <w:rFonts w:ascii="Cambria" w:cs="Cambria" w:eastAsia="Cambria" w:hAnsi="Cambria"/>
          <w:b/>
          <w:bCs/>
          <w:color w:val="1B2433"/>
          <w:sz w:val="34"/>
          <w:szCs w:val="34"/>
        </w:rPr>
        <w:t xml:space="preserve">6. Gate 1: experimental program</w:t>
      </w:r>
    </w:p>
    <w:p>
      <w:pPr>
        <w:pStyle w:val="Heading2"/>
        <w:spacing w:after="120" w:before="260"/>
      </w:pPr>
      <w:r>
        <w:rPr>
          <w:rFonts w:ascii="Cambria" w:cs="Cambria" w:eastAsia="Cambria" w:hAnsi="Cambria"/>
          <w:b/>
          <w:bCs/>
          <w:color w:val="1B2433"/>
          <w:sz w:val="27"/>
          <w:szCs w:val="27"/>
        </w:rPr>
        <w:t xml:space="preserve">6.1 Design principle: replicate to kill</w:t>
      </w:r>
    </w:p>
    <w:p>
      <w:pPr>
        <w:spacing w:after="140" w:before="0" w:line="276"/>
        <w:jc w:val="left"/>
      </w:pPr>
      <w:r>
        <w:rPr>
          <w:rFonts w:ascii="Calibri" w:cs="Calibri" w:eastAsia="Calibri" w:hAnsi="Calibri"/>
          <w:color w:val="1B2433"/>
          <w:sz w:val="22"/>
          <w:szCs w:val="22"/>
        </w:rPr>
        <w:t xml:space="preserve">Gate 1 is built to give the mainstream prior every chance to win. The protocol is pre-registered — hypotheses, device matrix, measurement sequence, analysis code and stopping rules are deposited in a public, timestamped registry before the first device is measured — and the analysis is blinded: the operator measuring a device does not know whether it carries a cavity. The advisory board reviews the pre-registration before it is filed and certifies the Gate 1 report before any tranche decision.</w:t>
      </w:r>
    </w:p>
    <w:p>
      <w:pPr>
        <w:spacing w:after="140" w:before="0" w:line="276"/>
        <w:jc w:val="left"/>
      </w:pPr>
      <w:r>
        <w:rPr>
          <w:rFonts w:ascii="Calibri" w:cs="Calibri" w:eastAsia="Calibri" w:hAnsi="Calibri"/>
          <w:color w:val="1B2433"/>
          <w:sz w:val="22"/>
          <w:szCs w:val="22"/>
        </w:rPr>
        <w:t xml:space="preserve">Gate 1 has three workstreams that run in parallel over months [1–12]: 1A, independent replication of the published MIM/cavity result; 1B, commissioning of the measurement platform and publication of its error budget; 1C, characterization of EnergyWave’s own structures under the 1A protocol. All three share one platform, one artifact catalogue and one decision rule.</w:t>
      </w:r>
    </w:p>
    <w:p>
      <w:pPr>
        <w:pStyle w:val="Heading2"/>
        <w:spacing w:after="120" w:before="260"/>
      </w:pPr>
      <w:r>
        <w:rPr>
          <w:rFonts w:ascii="Cambria" w:cs="Cambria" w:eastAsia="Cambria" w:hAnsi="Cambria"/>
          <w:b/>
          <w:bCs/>
          <w:color w:val="1B2433"/>
          <w:sz w:val="27"/>
          <w:szCs w:val="27"/>
        </w:rPr>
        <w:t xml:space="preserve">6.2 Workstream 1A — independent replication</w:t>
      </w:r>
    </w:p>
    <w:p>
      <w:pPr>
        <w:pStyle w:val="Heading3"/>
        <w:spacing w:after="80" w:before="200"/>
      </w:pPr>
      <w:r>
        <w:rPr>
          <w:rFonts w:ascii="Calibri" w:cs="Calibri" w:eastAsia="Calibri" w:hAnsi="Calibri"/>
          <w:b/>
          <w:bCs/>
          <w:color w:val="0F766E"/>
          <w:sz w:val="23"/>
          <w:szCs w:val="23"/>
        </w:rPr>
        <w:t xml:space="preserve">Devices</w:t>
      </w:r>
    </w:p>
    <w:p>
      <w:pPr>
        <w:spacing w:after="140" w:before="0" w:line="276"/>
        <w:jc w:val="left"/>
      </w:pPr>
      <w:r>
        <w:rPr>
          <w:rFonts w:ascii="Calibri" w:cs="Calibri" w:eastAsia="Calibri" w:hAnsi="Calibri"/>
          <w:color w:val="1B2433"/>
          <w:sz w:val="22"/>
          <w:szCs w:val="22"/>
        </w:rPr>
        <w:t xml:space="preserve">Devices follow the published recipe as closely as the paper permits: a Ni/NiOₓ–Al₂O₃/Pd MIM diode with an optical cavity formed by a PMMA or SiO₂ spacer of 33–1100 nm and an aluminium mirror [22, 23]. Where the paper is silent (exact oxide thicknesses, deposition conditions, overlap geometry), the choices are recorded in the pre-registration and a written request for process details is sent to the original authors, whose cooperation will be acknowledged if given and whose absence will be noted if not. Each fabrication batch includes, from the same wafer and run:</w:t>
      </w:r>
    </w:p>
    <w:p>
      <w:pPr>
        <w:pStyle w:val="ListParagraph"/>
        <w:numPr>
          <w:ilvl w:val="0"/>
          <w:numId w:val="2"/>
        </w:numPr>
        <w:spacing w:after="80" w:line="264"/>
      </w:pPr>
      <w:r>
        <w:rPr>
          <w:rFonts w:ascii="Calibri" w:cs="Calibri" w:eastAsia="Calibri" w:hAnsi="Calibri"/>
          <w:color w:val="1B2433"/>
          <w:sz w:val="22"/>
          <w:szCs w:val="22"/>
        </w:rPr>
        <w:t xml:space="preserve">Full devices at a matrix of cavity thicknesses spanning the published range, including the 33-nm point where the largest effect is reported.</w:t>
      </w:r>
    </w:p>
    <w:p>
      <w:pPr>
        <w:pStyle w:val="ListParagraph"/>
        <w:numPr>
          <w:ilvl w:val="0"/>
          <w:numId w:val="2"/>
        </w:numPr>
        <w:spacing w:after="80" w:line="264"/>
      </w:pPr>
      <w:r>
        <w:rPr>
          <w:rFonts w:ascii="Calibri" w:cs="Calibri" w:eastAsia="Calibri" w:hAnsi="Calibri"/>
          <w:color w:val="1B2433"/>
          <w:sz w:val="22"/>
          <w:szCs w:val="22"/>
        </w:rPr>
        <w:t xml:space="preserve">No-cavity twins: identical MIM diodes with neither spacer nor mirror.</w:t>
      </w:r>
    </w:p>
    <w:p>
      <w:pPr>
        <w:pStyle w:val="ListParagraph"/>
        <w:numPr>
          <w:ilvl w:val="0"/>
          <w:numId w:val="2"/>
        </w:numPr>
        <w:spacing w:after="80" w:line="264"/>
      </w:pPr>
      <w:r>
        <w:rPr>
          <w:rFonts w:ascii="Calibri" w:cs="Calibri" w:eastAsia="Calibri" w:hAnsi="Calibri"/>
          <w:color w:val="1B2433"/>
          <w:sz w:val="22"/>
          <w:szCs w:val="22"/>
        </w:rPr>
        <w:t xml:space="preserve">Spacer-only twins: MIM diode plus spacer, no mirror (tests whether the dielectric alone produces the effect).</w:t>
      </w:r>
    </w:p>
    <w:p>
      <w:pPr>
        <w:pStyle w:val="ListParagraph"/>
        <w:numPr>
          <w:ilvl w:val="0"/>
          <w:numId w:val="2"/>
        </w:numPr>
        <w:spacing w:after="80" w:line="264"/>
      </w:pPr>
      <w:r>
        <w:rPr>
          <w:rFonts w:ascii="Calibri" w:cs="Calibri" w:eastAsia="Calibri" w:hAnsi="Calibri"/>
          <w:color w:val="1B2433"/>
          <w:sz w:val="22"/>
          <w:szCs w:val="22"/>
        </w:rPr>
        <w:t xml:space="preserve">Mirror-only twins: MIM diode plus a mirror at a spacing outside the Casimir-relevant range (tests optical and electrostatic effects of the metal overlayer).</w:t>
      </w:r>
    </w:p>
    <w:p>
      <w:pPr>
        <w:pStyle w:val="ListParagraph"/>
        <w:numPr>
          <w:ilvl w:val="0"/>
          <w:numId w:val="2"/>
        </w:numPr>
        <w:spacing w:after="80" w:line="264"/>
      </w:pPr>
      <w:r>
        <w:rPr>
          <w:rFonts w:ascii="Calibri" w:cs="Calibri" w:eastAsia="Calibri" w:hAnsi="Calibri"/>
          <w:color w:val="1B2433"/>
          <w:sz w:val="22"/>
          <w:szCs w:val="22"/>
        </w:rPr>
        <w:t xml:space="preserve">Dead devices: structures with a deliberately open or shorted junction, to characterize instrument offsets against a known null.</w:t>
      </w:r>
    </w:p>
    <w:p>
      <w:pPr>
        <w:pStyle w:val="Heading3"/>
        <w:spacing w:after="80" w:before="200"/>
      </w:pPr>
      <w:r>
        <w:rPr>
          <w:rFonts w:ascii="Calibri" w:cs="Calibri" w:eastAsia="Calibri" w:hAnsi="Calibri"/>
          <w:b/>
          <w:bCs/>
          <w:color w:val="0F766E"/>
          <w:sz w:val="23"/>
          <w:szCs w:val="23"/>
        </w:rPr>
        <w:t xml:space="preserve">Measurements</w:t>
      </w:r>
    </w:p>
    <w:p>
      <w:pPr>
        <w:spacing w:after="140" w:before="0" w:line="276"/>
        <w:jc w:val="left"/>
      </w:pPr>
      <w:r>
        <w:rPr>
          <w:rFonts w:ascii="Calibri" w:cs="Calibri" w:eastAsia="Calibri" w:hAnsi="Calibri"/>
          <w:color w:val="1B2433"/>
          <w:sz w:val="22"/>
          <w:szCs w:val="22"/>
        </w:rPr>
        <w:t xml:space="preserve">For each device: current–voltage characteristics; differential conductance versus cavity thickness (to reproduce the fifty-fold trend reported in [22], which is the easier and more robust of the two published observations); zero-bias short-circuit current and open-circuit voltage versus time, temperature and cavity thickness; and the sign of the current, recorded against both the original group’s prediction and Maclay’s opposite-sign prediction [24]. Measurements are made with the device inside the isothermal, shielded enclosure of Workstream 1B, under a blinded sample-identifier scheme, in a pre-registered sequence that interleaves full devices and twins.</w:t>
      </w:r>
    </w:p>
    <w:p>
      <w:pPr>
        <w:pStyle w:val="Heading3"/>
        <w:spacing w:after="80" w:before="200"/>
      </w:pPr>
      <w:r>
        <w:rPr>
          <w:rFonts w:ascii="Calibri" w:cs="Calibri" w:eastAsia="Calibri" w:hAnsi="Calibri"/>
          <w:b/>
          <w:bCs/>
          <w:color w:val="0F766E"/>
          <w:sz w:val="23"/>
          <w:szCs w:val="23"/>
        </w:rPr>
        <w:t xml:space="preserve">Quantities and statistics</w:t>
      </w:r>
    </w:p>
    <w:p>
      <w:pPr>
        <w:spacing w:after="140" w:before="0" w:line="276"/>
        <w:jc w:val="left"/>
      </w:pPr>
      <w:r>
        <w:rPr>
          <w:rFonts w:ascii="Calibri" w:cs="Calibri" w:eastAsia="Calibri" w:hAnsi="Calibri"/>
          <w:color w:val="1B2433"/>
          <w:sz w:val="22"/>
          <w:szCs w:val="22"/>
        </w:rPr>
        <w:t xml:space="preserve">Device count is set by the pre-registered power analysis, provisionally [≥ 200] full devices across [≥ 8] batches plus twins in equal number, chosen so that a cavity-dependent effect of one tenth the reported magnitude would be detected at 5σ. The ≥5σ criterion is defined against the empirical distribution of the twins and dead devices measured under identical conditions, not against a theoretical noise model. Stopping rules are fixed in advance: no batch is added or dropped after unblinding.</w:t>
      </w:r>
    </w:p>
    <w:p>
      <w:pPr>
        <w:pStyle w:val="Heading2"/>
        <w:spacing w:after="120" w:before="260"/>
      </w:pPr>
      <w:r>
        <w:rPr>
          <w:rFonts w:ascii="Cambria" w:cs="Cambria" w:eastAsia="Cambria" w:hAnsi="Cambria"/>
          <w:b/>
          <w:bCs/>
          <w:color w:val="1B2433"/>
          <w:sz w:val="27"/>
          <w:szCs w:val="27"/>
        </w:rPr>
        <w:t xml:space="preserve">6.3 Workstream 1B — the measurement platform and its error budget</w:t>
      </w:r>
    </w:p>
    <w:p>
      <w:pPr>
        <w:spacing w:after="140" w:before="0" w:line="276"/>
        <w:jc w:val="left"/>
      </w:pPr>
      <w:r>
        <w:rPr>
          <w:rFonts w:ascii="Calibri" w:cs="Calibri" w:eastAsia="Calibri" w:hAnsi="Calibri"/>
          <w:color w:val="1B2433"/>
          <w:sz w:val="22"/>
          <w:szCs w:val="22"/>
        </w:rPr>
        <w:t xml:space="preserve">The platform is the company’s principal asset whatever Gate 1 finds, and its design is published as a methods paper before any result is claimed. Its elements:</w:t>
      </w:r>
    </w:p>
    <w:p>
      <w:pPr>
        <w:pStyle w:val="ListParagraph"/>
        <w:numPr>
          <w:ilvl w:val="0"/>
          <w:numId w:val="2"/>
        </w:numPr>
        <w:spacing w:after="80" w:line="264"/>
      </w:pPr>
      <w:r>
        <w:rPr>
          <w:rFonts w:ascii="Calibri" w:cs="Calibri" w:eastAsia="Calibri" w:hAnsi="Calibri"/>
          <w:b/>
          <w:bCs/>
          <w:color w:val="1B2433"/>
          <w:sz w:val="22"/>
          <w:szCs w:val="22"/>
        </w:rPr>
        <w:t xml:space="preserve">Isothermal enclosure. </w:t>
      </w:r>
      <w:r>
        <w:rPr>
          <w:rFonts w:ascii="Calibri" w:cs="Calibri" w:eastAsia="Calibri" w:hAnsi="Calibri"/>
          <w:color w:val="1B2433"/>
          <w:sz w:val="22"/>
          <w:szCs w:val="22"/>
        </w:rPr>
        <w:t xml:space="preserve">A multi-stage, actively stabilized thermal enclosure with distributed temperature sensing so that the gradient across the device under test is mapped, not assumed; target stability and residual gradient are set in the pre-registration and measured on dead devices.</w:t>
      </w:r>
    </w:p>
    <w:p>
      <w:pPr>
        <w:pStyle w:val="ListParagraph"/>
        <w:numPr>
          <w:ilvl w:val="0"/>
          <w:numId w:val="2"/>
        </w:numPr>
        <w:spacing w:after="80" w:line="264"/>
      </w:pPr>
      <w:r>
        <w:rPr>
          <w:rFonts w:ascii="Calibri" w:cs="Calibri" w:eastAsia="Calibri" w:hAnsi="Calibri"/>
          <w:b/>
          <w:bCs/>
          <w:color w:val="1B2433"/>
          <w:sz w:val="22"/>
          <w:szCs w:val="22"/>
        </w:rPr>
        <w:t xml:space="preserve">Electromagnetic shielding. </w:t>
      </w:r>
      <w:r>
        <w:rPr>
          <w:rFonts w:ascii="Calibri" w:cs="Calibri" w:eastAsia="Calibri" w:hAnsi="Calibri"/>
          <w:color w:val="1B2433"/>
          <w:sz w:val="22"/>
          <w:szCs w:val="22"/>
        </w:rPr>
        <w:t xml:space="preserve">Nested conductive and high-permeability shielding, filtered feedthroughs, guarded triaxial wiring and a documented grounding scheme; residual pickup is characterized by injecting known RF and recording the device response.</w:t>
      </w:r>
    </w:p>
    <w:p>
      <w:pPr>
        <w:pStyle w:val="ListParagraph"/>
        <w:numPr>
          <w:ilvl w:val="0"/>
          <w:numId w:val="2"/>
        </w:numPr>
        <w:spacing w:after="80" w:line="264"/>
      </w:pPr>
      <w:r>
        <w:rPr>
          <w:rFonts w:ascii="Calibri" w:cs="Calibri" w:eastAsia="Calibri" w:hAnsi="Calibri"/>
          <w:b/>
          <w:bCs/>
          <w:color w:val="1B2433"/>
          <w:sz w:val="22"/>
          <w:szCs w:val="22"/>
        </w:rPr>
        <w:t xml:space="preserve">Low-noise electrical measurement. </w:t>
      </w:r>
      <w:r>
        <w:rPr>
          <w:rFonts w:ascii="Calibri" w:cs="Calibri" w:eastAsia="Calibri" w:hAnsi="Calibri"/>
          <w:color w:val="1B2433"/>
          <w:sz w:val="22"/>
          <w:szCs w:val="22"/>
        </w:rPr>
        <w:t xml:space="preserve">Electrometer-class instrumentation with characterized bias-current and offset drift; lock-in techniques where a modulation (thermal, optical or mechanical) is part of the test; picowatt-level power resolution demonstrated on known nulls.</w:t>
      </w:r>
    </w:p>
    <w:p>
      <w:pPr>
        <w:pStyle w:val="ListParagraph"/>
        <w:numPr>
          <w:ilvl w:val="0"/>
          <w:numId w:val="2"/>
        </w:numPr>
        <w:spacing w:after="80" w:line="264"/>
      </w:pPr>
      <w:r>
        <w:rPr>
          <w:rFonts w:ascii="Calibri" w:cs="Calibri" w:eastAsia="Calibri" w:hAnsi="Calibri"/>
          <w:b/>
          <w:bCs/>
          <w:color w:val="1B2433"/>
          <w:sz w:val="22"/>
          <w:szCs w:val="22"/>
        </w:rPr>
        <w:t xml:space="preserve">Optical blinding. </w:t>
      </w:r>
      <w:r>
        <w:rPr>
          <w:rFonts w:ascii="Calibri" w:cs="Calibri" w:eastAsia="Calibri" w:hAnsi="Calibri"/>
          <w:color w:val="1B2433"/>
          <w:sz w:val="22"/>
          <w:szCs w:val="22"/>
        </w:rPr>
        <w:t xml:space="preserve">Light-tight enclosure with measured leakage; a controlled illumination source used only to test photo-effects deliberately.</w:t>
      </w:r>
    </w:p>
    <w:p>
      <w:pPr>
        <w:pStyle w:val="ListParagraph"/>
        <w:numPr>
          <w:ilvl w:val="0"/>
          <w:numId w:val="2"/>
        </w:numPr>
        <w:spacing w:after="80" w:line="264"/>
      </w:pPr>
      <w:r>
        <w:rPr>
          <w:rFonts w:ascii="Calibri" w:cs="Calibri" w:eastAsia="Calibri" w:hAnsi="Calibri"/>
          <w:b/>
          <w:bCs/>
          <w:color w:val="1B2433"/>
          <w:sz w:val="22"/>
          <w:szCs w:val="22"/>
        </w:rPr>
        <w:t xml:space="preserve">Vibration isolation. </w:t>
      </w:r>
      <w:r>
        <w:rPr>
          <w:rFonts w:ascii="Calibri" w:cs="Calibri" w:eastAsia="Calibri" w:hAnsi="Calibri"/>
          <w:color w:val="1B2433"/>
          <w:sz w:val="22"/>
          <w:szCs w:val="22"/>
        </w:rPr>
        <w:t xml:space="preserve">Passive isolation with accelerometer monitoring, to characterize triboelectric and piezoelectric contributions.</w:t>
      </w:r>
    </w:p>
    <w:p>
      <w:pPr>
        <w:pStyle w:val="ListParagraph"/>
        <w:numPr>
          <w:ilvl w:val="0"/>
          <w:numId w:val="2"/>
        </w:numPr>
        <w:spacing w:after="80" w:line="264"/>
      </w:pPr>
      <w:r>
        <w:rPr>
          <w:rFonts w:ascii="Calibri" w:cs="Calibri" w:eastAsia="Calibri" w:hAnsi="Calibri"/>
          <w:b/>
          <w:bCs/>
          <w:color w:val="1B2433"/>
          <w:sz w:val="22"/>
          <w:szCs w:val="22"/>
        </w:rPr>
        <w:t xml:space="preserve">Differential calorimetry (commissioned in Gate 1, used decisively in Gate 2). </w:t>
      </w:r>
      <w:r>
        <w:rPr>
          <w:rFonts w:ascii="Calibri" w:cs="Calibri" w:eastAsia="Calibri" w:hAnsi="Calibri"/>
          <w:color w:val="1B2433"/>
          <w:sz w:val="22"/>
          <w:szCs w:val="22"/>
        </w:rPr>
        <w:t xml:space="preserve">A reference cell alongside the device cell so that heat flow into the device can be measured while output is drawn.</w:t>
      </w:r>
    </w:p>
    <w:p>
      <w:pPr>
        <w:pStyle w:val="ListParagraph"/>
        <w:numPr>
          <w:ilvl w:val="0"/>
          <w:numId w:val="2"/>
        </w:numPr>
        <w:spacing w:after="80" w:line="264"/>
      </w:pPr>
      <w:r>
        <w:rPr>
          <w:rFonts w:ascii="Calibri" w:cs="Calibri" w:eastAsia="Calibri" w:hAnsi="Calibri"/>
          <w:b/>
          <w:bCs/>
          <w:color w:val="1B2433"/>
          <w:sz w:val="22"/>
          <w:szCs w:val="22"/>
        </w:rPr>
        <w:t xml:space="preserve">Data pipeline. </w:t>
      </w:r>
      <w:r>
        <w:rPr>
          <w:rFonts w:ascii="Calibri" w:cs="Calibri" w:eastAsia="Calibri" w:hAnsi="Calibri"/>
          <w:color w:val="1B2433"/>
          <w:sz w:val="22"/>
          <w:szCs w:val="22"/>
        </w:rPr>
        <w:t xml:space="preserve">Raw data timestamped and hashed at acquisition; analysis code pre-registered; blinding keys held by a person outside the measurement team until the analysis is frozen.</w:t>
      </w:r>
    </w:p>
    <w:p>
      <w:pPr>
        <w:spacing w:after="140" w:before="0" w:line="276"/>
        <w:jc w:val="left"/>
      </w:pPr>
      <w:r>
        <w:rPr>
          <w:rFonts w:ascii="Calibri" w:cs="Calibri" w:eastAsia="Calibri" w:hAnsi="Calibri"/>
          <w:color w:val="1B2433"/>
          <w:sz w:val="22"/>
          <w:szCs w:val="22"/>
        </w:rPr>
        <w:t xml:space="preserve">The error budget is a table, published with the methods paper, that assigns to each artifact source in Section 6.4 a measured (not modelled) upper bound on the spurious output it could produce in the platform as built. The artifact floor used in the Gate 1 decision rule is the quadrature sum of those bounds, and the platform is not considered commissioned until that floor is at least a factor of [10] below the reported effect.</w:t>
      </w:r>
    </w:p>
    <w:p>
      <w:pPr>
        <w:pStyle w:val="Heading2"/>
        <w:spacing w:after="120" w:before="260"/>
      </w:pPr>
      <w:r>
        <w:rPr>
          <w:rFonts w:ascii="Cambria" w:cs="Cambria" w:eastAsia="Cambria" w:hAnsi="Cambria"/>
          <w:b/>
          <w:bCs/>
          <w:color w:val="1B2433"/>
          <w:sz w:val="27"/>
          <w:szCs w:val="27"/>
        </w:rPr>
        <w:t xml:space="preserve">6.4 Artifact catalogue and exclusion tests</w:t>
      </w:r>
    </w:p>
    <w:p>
      <w:pPr>
        <w:spacing w:after="140" w:before="0" w:line="276"/>
        <w:jc w:val="left"/>
      </w:pPr>
      <w:r>
        <w:rPr>
          <w:rFonts w:ascii="Calibri" w:cs="Calibri" w:eastAsia="Calibri" w:hAnsi="Calibri"/>
          <w:color w:val="1B2433"/>
          <w:sz w:val="22"/>
          <w:szCs w:val="22"/>
        </w:rPr>
        <w:t xml:space="preserve">The catalogue is the heart of Gate 1. Each row names a known way to manufacture a picowatt-level DC signal, the signature by which it can be recognized, and the test that discriminates it from a real effect. Rows are added, never removed, as the advisory board and replication partner review the pre-registration.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600"/>
        <w:gridCol w:w="2560"/>
      </w:tblGrid>
      <w:tr>
        <w:trPr>
          <w:tblHeader/>
        </w:trPr>
        <w:tc>
          <w:tcPr>
            <w:tcW w:type="dxa" w:w="19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7"/>
                <w:szCs w:val="17"/>
              </w:rPr>
              <w:t xml:space="preserve">Artifact source</w:t>
            </w:r>
          </w:p>
        </w:tc>
        <w:tc>
          <w:tcPr>
            <w:tcW w:type="dxa" w:w="23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7"/>
                <w:szCs w:val="17"/>
              </w:rPr>
              <w:t xml:space="preserve">Mechanism</w:t>
            </w:r>
          </w:p>
        </w:tc>
        <w:tc>
          <w:tcPr>
            <w:tcW w:type="dxa" w:w="26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7"/>
                <w:szCs w:val="17"/>
              </w:rPr>
              <w:t xml:space="preserve">Discriminating test</w:t>
            </w:r>
          </w:p>
        </w:tc>
        <w:tc>
          <w:tcPr>
            <w:tcW w:type="dxa" w:w="256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7"/>
                <w:szCs w:val="17"/>
              </w:rPr>
              <w:t xml:space="preserve">Expected signature if artifact</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Thermal gradient (Seebeck / thermoelectric)</w:t>
            </w:r>
          </w:p>
        </w:tc>
        <w:tc>
          <w:tcPr>
            <w:tcW w:type="dxa" w:w="2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Dissimilar metals in the MIM stack plus a temperature difference produce a thermovoltage.</w:t>
            </w:r>
          </w:p>
        </w:tc>
        <w:tc>
          <w:tcPr>
            <w:tcW w:type="dxa" w:w="2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Mapped gradient across the device; deliberate ±ΔT sweeps; output vs. enclosure stability.</w:t>
            </w:r>
          </w:p>
        </w:tc>
        <w:tc>
          <w:tcPr>
            <w:tcW w:type="dxa" w:w="25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Output tracks ΔT linearly and vanishes as ΔT → 0; same magnitude in no-cavity twins.</w:t>
            </w:r>
          </w:p>
        </w:tc>
      </w:tr>
      <w:tr>
        <w:trPr>
          <w:cantSplit/>
        </w:trPr>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Photo-effects</w:t>
            </w:r>
          </w:p>
        </w:tc>
        <w:tc>
          <w:tcPr>
            <w:tcW w:type="dxa" w:w="23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Ambient or stray light produces photocurrent in the junction or contacts.</w:t>
            </w:r>
          </w:p>
        </w:tc>
        <w:tc>
          <w:tcPr>
            <w:tcW w:type="dxa" w:w="2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Light-tight enclosure with measured leakage; controlled illumination sweeps; mirror-only twins.</w:t>
            </w:r>
          </w:p>
        </w:tc>
        <w:tc>
          <w:tcPr>
            <w:tcW w:type="dxa" w:w="25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Output changes with illumination; present without cavity.</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Electromagnetic pickup and rectification</w:t>
            </w:r>
          </w:p>
        </w:tc>
        <w:tc>
          <w:tcPr>
            <w:tcW w:type="dxa" w:w="2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The nonlinear junction rectifies ambient RF into DC.</w:t>
            </w:r>
          </w:p>
        </w:tc>
        <w:tc>
          <w:tcPr>
            <w:tcW w:type="dxa" w:w="2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Shielding on/off comparisons; injected-RF response curve; spectrum monitoring.</w:t>
            </w:r>
          </w:p>
        </w:tc>
        <w:tc>
          <w:tcPr>
            <w:tcW w:type="dxa" w:w="25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Output correlates with ambient RF power and with shielding state.</w:t>
            </w:r>
          </w:p>
        </w:tc>
      </w:tr>
      <w:tr>
        <w:trPr>
          <w:cantSplit/>
        </w:trPr>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Contact potential and electrochemistry</w:t>
            </w:r>
          </w:p>
        </w:tc>
        <w:tc>
          <w:tcPr>
            <w:tcW w:type="dxa" w:w="23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Oxide, moisture or dissimilar-metal contacts form a weak battery.</w:t>
            </w:r>
          </w:p>
        </w:tc>
        <w:tc>
          <w:tcPr>
            <w:tcW w:type="dxa" w:w="2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Humidity control; vacuum vs. ambient; long-term drift; discharge-and-recovery tests.</w:t>
            </w:r>
          </w:p>
        </w:tc>
        <w:tc>
          <w:tcPr>
            <w:tcW w:type="dxa" w:w="25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Output decays as a battery discharges; depends on humidity; recovers slowly.</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Stored charge and dielectric relaxation</w:t>
            </w:r>
          </w:p>
        </w:tc>
        <w:tc>
          <w:tcPr>
            <w:tcW w:type="dxa" w:w="2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PMMA/SiO₂ spacers hold charge that leaks slowly as current.</w:t>
            </w:r>
          </w:p>
        </w:tc>
        <w:tc>
          <w:tcPr>
            <w:tcW w:type="dxa" w:w="2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Extended discharge to ground before measurement; spacer-only twins; relaxation-time fits.</w:t>
            </w:r>
          </w:p>
        </w:tc>
        <w:tc>
          <w:tcPr>
            <w:tcW w:type="dxa" w:w="25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Output decays with a characteristic relaxation time; scales with spacer, not cavity function.</w:t>
            </w:r>
          </w:p>
        </w:tc>
      </w:tr>
      <w:tr>
        <w:trPr>
          <w:cantSplit/>
        </w:trPr>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Triboelectric and piezoelectric</w:t>
            </w:r>
          </w:p>
        </w:tc>
        <w:tc>
          <w:tcPr>
            <w:tcW w:type="dxa" w:w="23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Vibration generates charge at interfaces.</w:t>
            </w:r>
          </w:p>
        </w:tc>
        <w:tc>
          <w:tcPr>
            <w:tcW w:type="dxa" w:w="2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Accelerometer correlation; isolation on/off.</w:t>
            </w:r>
          </w:p>
        </w:tc>
        <w:tc>
          <w:tcPr>
            <w:tcW w:type="dxa" w:w="25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Output correlates with vibration spectrum.</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Instrument offsets and bias current</w:t>
            </w:r>
          </w:p>
        </w:tc>
        <w:tc>
          <w:tcPr>
            <w:tcW w:type="dxa" w:w="2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Electrometer input bias current and offset drift read as device output.</w:t>
            </w:r>
          </w:p>
        </w:tc>
        <w:tc>
          <w:tcPr>
            <w:tcW w:type="dxa" w:w="2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Dead-device and open-circuit runs interleaved with every measurement.</w:t>
            </w:r>
          </w:p>
        </w:tc>
        <w:tc>
          <w:tcPr>
            <w:tcW w:type="dxa" w:w="25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Same output with device removed or shorted.</w:t>
            </w:r>
          </w:p>
        </w:tc>
      </w:tr>
      <w:tr>
        <w:trPr>
          <w:cantSplit/>
        </w:trPr>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Leakage paths</w:t>
            </w:r>
          </w:p>
        </w:tc>
        <w:tc>
          <w:tcPr>
            <w:tcW w:type="dxa" w:w="23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Parasitic conduction through substrate or fixture.</w:t>
            </w:r>
          </w:p>
        </w:tc>
        <w:tc>
          <w:tcPr>
            <w:tcW w:type="dxa" w:w="2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Guarded fixtures; fixture-only runs.</w:t>
            </w:r>
          </w:p>
        </w:tc>
        <w:tc>
          <w:tcPr>
            <w:tcW w:type="dxa" w:w="25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Output present with fixture alone.</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Selection and analysis bias</w:t>
            </w:r>
          </w:p>
        </w:tc>
        <w:tc>
          <w:tcPr>
            <w:tcW w:type="dxa" w:w="2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Choosing the ‘good’ devices after the fact.</w:t>
            </w:r>
          </w:p>
        </w:tc>
        <w:tc>
          <w:tcPr>
            <w:tcW w:type="dxa" w:w="2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Pre-registered device matrix; blinding; fixed stopping rules; all devices reported.</w:t>
            </w:r>
          </w:p>
        </w:tc>
        <w:tc>
          <w:tcPr>
            <w:tcW w:type="dxa" w:w="25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Effect shrinks when the full pre-registered population is analysed.</w:t>
            </w:r>
          </w:p>
        </w:tc>
      </w:tr>
    </w:tbl>
    <w:p>
      <w:pPr>
        <w:spacing w:after="80"/>
      </w:pPr>
    </w:p>
    <w:p>
      <w:pPr>
        <w:pStyle w:val="Heading2"/>
        <w:spacing w:after="120" w:before="260"/>
      </w:pPr>
      <w:r>
        <w:rPr>
          <w:rFonts w:ascii="Cambria" w:cs="Cambria" w:eastAsia="Cambria" w:hAnsi="Cambria"/>
          <w:b/>
          <w:bCs/>
          <w:color w:val="1B2433"/>
          <w:sz w:val="27"/>
          <w:szCs w:val="27"/>
        </w:rPr>
        <w:t xml:space="preserve">6.5 Workstream 1C — EnergyWave’s own structures</w:t>
      </w:r>
    </w:p>
    <w:p>
      <w:pPr>
        <w:spacing w:after="140" w:before="0" w:line="276"/>
        <w:jc w:val="left"/>
      </w:pPr>
      <w:r>
        <w:rPr>
          <w:rFonts w:ascii="Calibri" w:cs="Calibri" w:eastAsia="Calibri" w:hAnsi="Calibri"/>
          <w:color w:val="1B2433"/>
          <w:sz w:val="22"/>
          <w:szCs w:val="22"/>
        </w:rPr>
        <w:t xml:space="preserve">[Internal device concept — to be specified from the founder’s notes before this document goes to a physicist. The public site describes the first research module as “a solid-state design from the mid-1980s” tested under a net-source / colder-sink energy-conservation protocol; if that design is Forward’s charged foliated conductor [17], note that it is a one-shot store by its author’s own description, and that Workstream 1C would then test its charge–discharge energy accounting rather than continuous output.] Whatever the structure — Casimir cavity with metamaterial or photonic-crystal boundaries, two-dimensional-material electrodes, or another engineered geometry — it enters the program on the same terms as the replication devices: the same platform, the same catalogue, the same twins, the same blinding, the same decision rule. No EnergyWave structure receives a measurement the replication devices do not, and none is reported separately from the pre-registered population.</w:t>
      </w:r>
    </w:p>
    <w:p>
      <w:pPr>
        <w:pStyle w:val="Heading2"/>
        <w:spacing w:after="120" w:before="260"/>
      </w:pPr>
      <w:r>
        <w:rPr>
          <w:rFonts w:ascii="Cambria" w:cs="Cambria" w:eastAsia="Cambria" w:hAnsi="Cambria"/>
          <w:b/>
          <w:bCs/>
          <w:color w:val="1B2433"/>
          <w:sz w:val="27"/>
          <w:szCs w:val="27"/>
        </w:rPr>
        <w:t xml:space="preserve">6.6 The Gate 1 decision rule and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760"/>
      </w:tblGrid>
      <w:tr>
        <w:trPr>
          <w:tblHeader/>
        </w:trPr>
        <w:tc>
          <w:tcPr>
            <w:tcW w:type="dxa" w:w="13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Outcome</w:t>
            </w:r>
          </w:p>
        </w:tc>
        <w:tc>
          <w:tcPr>
            <w:tcW w:type="dxa" w:w="43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Definition</w:t>
            </w:r>
          </w:p>
        </w:tc>
        <w:tc>
          <w:tcPr>
            <w:tcW w:type="dxa" w:w="376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Consequence</w:t>
            </w:r>
          </w:p>
        </w:tc>
      </w:tr>
      <w:tr>
        <w:trPr>
          <w:cantSplit/>
        </w:trPr>
        <w:tc>
          <w:tcPr>
            <w:tcW w:type="dxa" w:w="1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Pass</w:t>
            </w:r>
          </w:p>
        </w:tc>
        <w:tc>
          <w:tcPr>
            <w:tcW w:type="dxa" w:w="4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 repeatable, cavity-dependent output above the fully characterized artifact floor at ≥5σ, in blinded runs, surviving every row of the catalogue, in the full pre-registered population.</w:t>
            </w:r>
          </w:p>
        </w:tc>
        <w:tc>
          <w:tcPr>
            <w:tcW w:type="dxa" w:w="37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Advisory board certifies; Gate 1 report and data published; Tranche B released from escrow; Gate 2 begins with the second-laboratory contract already in place.</w:t>
            </w:r>
          </w:p>
        </w:tc>
      </w:tr>
      <w:tr>
        <w:trPr>
          <w:cantSplit/>
        </w:trPr>
        <w:tc>
          <w:tcPr>
            <w:tcW w:type="dxa" w:w="1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Kill</w:t>
            </w:r>
          </w:p>
        </w:tc>
        <w:tc>
          <w:tcPr>
            <w:tcW w:type="dxa" w:w="4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No output above the artifact floor; or output fully explained by one or more catalogue rows; or output present equally in twins.</w:t>
            </w:r>
          </w:p>
        </w:tc>
        <w:tc>
          <w:tcPr>
            <w:tcW w:type="dxa" w:w="37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Advisory board certifies; Gate 1 report and data published as a null result; program winds down; unspent escrow returned.</w:t>
            </w:r>
          </w:p>
        </w:tc>
      </w:tr>
      <w:tr>
        <w:trPr>
          <w:cantSplit/>
        </w:trPr>
        <w:tc>
          <w:tcPr>
            <w:tcW w:type="dxa" w:w="1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Ambiguous</w:t>
            </w:r>
          </w:p>
        </w:tc>
        <w:tc>
          <w:tcPr>
            <w:tcW w:type="dxa" w:w="43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Output above floor but not surviving one catalogue row cleanly, or not reaching 5σ in the full population.</w:t>
            </w:r>
          </w:p>
        </w:tc>
        <w:tc>
          <w:tcPr>
            <w:tcW w:type="dxa" w:w="37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Reported as such. A single pre-registered extension of bounded scope and cost may be approved by the board; a second ambiguous outcome is treated as a kill.</w:t>
            </w:r>
          </w:p>
        </w:tc>
      </w:tr>
    </w:tbl>
    <w:p>
      <w:pPr>
        <w:spacing w:after="80"/>
      </w:pPr>
    </w:p>
    <w:p>
      <w:pPr>
        <w:spacing w:after="140" w:before="0" w:line="276"/>
        <w:jc w:val="left"/>
      </w:pPr>
      <w:r>
        <w:rPr>
          <w:rFonts w:ascii="Calibri" w:cs="Calibri" w:eastAsia="Calibri" w:hAnsi="Calibri"/>
          <w:color w:val="1B2433"/>
          <w:sz w:val="22"/>
          <w:szCs w:val="22"/>
        </w:rPr>
        <w:t xml:space="preserve">The Gate 1 report is a single document delivered simultaneously to investors, the advisory board and the public, with the raw data and analysis code. There is no investor-only version.</w:t>
      </w:r>
    </w:p>
    <w:p>
      <w:pPr>
        <w:pStyle w:val="Heading1"/>
        <w:spacing w:after="160" w:before="360"/>
      </w:pPr>
      <w:r>
        <w:rPr>
          <w:rFonts w:ascii="Cambria" w:cs="Cambria" w:eastAsia="Cambria" w:hAnsi="Cambria"/>
          <w:b/>
          <w:bCs/>
          <w:color w:val="1B2433"/>
          <w:sz w:val="34"/>
          <w:szCs w:val="34"/>
        </w:rPr>
        <w:t xml:space="preserve">7. Gates 2 and 3</w:t>
      </w:r>
    </w:p>
    <w:p>
      <w:pPr>
        <w:pStyle w:val="Heading2"/>
        <w:spacing w:after="120" w:before="260"/>
      </w:pPr>
      <w:r>
        <w:rPr>
          <w:rFonts w:ascii="Cambria" w:cs="Cambria" w:eastAsia="Cambria" w:hAnsi="Cambria"/>
          <w:b/>
          <w:bCs/>
          <w:color w:val="1B2433"/>
          <w:sz w:val="27"/>
          <w:szCs w:val="27"/>
        </w:rPr>
        <w:t xml:space="preserve">7.1 Gate 2 — where does the energy come from?</w:t>
      </w:r>
    </w:p>
    <w:p>
      <w:pPr>
        <w:spacing w:after="140" w:before="0" w:line="276"/>
        <w:jc w:val="left"/>
      </w:pPr>
      <w:r>
        <w:rPr>
          <w:rFonts w:ascii="Calibri" w:cs="Calibri" w:eastAsia="Calibri" w:hAnsi="Calibri"/>
          <w:color w:val="1B2433"/>
          <w:sz w:val="22"/>
          <w:szCs w:val="22"/>
        </w:rPr>
        <w:t xml:space="preserve">Gate 2 is reached only on a certified Gate 1 pass, and its first question is thermodynamic rather than mechanistic. Under closed-system differential calorimetry, output power is drawn from the device continuously while the heat flow into the device cell is measured against the reference cell. Three outcomes are distinguishable: the device cools its surroundings or draws on a maintained gradient (a heat engine — Section 4.7), the enclosure holds constant within the calorimeter’s resolution while output is delivered (an energy balance that does not close), or the output is too small to resolve calorimetrically at all, in which case Gate 2 requires the device count and integration time needed to resolve it before any conclusion is drawn.</w:t>
      </w:r>
    </w:p>
    <w:p>
      <w:pPr>
        <w:spacing w:after="140" w:before="0" w:line="276"/>
        <w:jc w:val="left"/>
      </w:pPr>
      <w:r>
        <w:rPr>
          <w:rFonts w:ascii="Calibri" w:cs="Calibri" w:eastAsia="Calibri" w:hAnsi="Calibri"/>
          <w:color w:val="1B2433"/>
          <w:sz w:val="22"/>
          <w:szCs w:val="22"/>
        </w:rPr>
        <w:t xml:space="preserve">Mechanism discrimination follows: output versus cavity geometry, temperature (including cryogenic runs, where thermal explanations are suppressed), materials and electrode work functions, with the sign of the current compared against the original group’s model and Maclay’s prediction [22–24]. Every candidate model in the pre-registration makes a numerical prediction that the data can contradict.</w:t>
      </w:r>
    </w:p>
    <w:p>
      <w:pPr>
        <w:spacing w:after="140" w:before="0" w:line="276"/>
        <w:jc w:val="left"/>
      </w:pPr>
      <w:r>
        <w:rPr>
          <w:rFonts w:ascii="Calibri" w:cs="Calibri" w:eastAsia="Calibri" w:hAnsi="Calibri"/>
          <w:color w:val="1B2433"/>
          <w:sz w:val="22"/>
          <w:szCs w:val="22"/>
        </w:rPr>
        <w:t xml:space="preserve">Independent replication at a second laboratory is contracted before Gate 2 starts — the partner receives devices from EnergyWave’s batches and fabricates its own from the published recipe — and the Gate 2 pass criterion requires that the external result agree. The pass and kill definitions are those of Section 6.6 applied to hypotheses H2a and H2b.</w:t>
      </w:r>
    </w:p>
    <w:p>
      <w:pPr>
        <w:pStyle w:val="Heading2"/>
        <w:spacing w:after="120" w:before="260"/>
      </w:pPr>
      <w:r>
        <w:rPr>
          <w:rFonts w:ascii="Cambria" w:cs="Cambria" w:eastAsia="Cambria" w:hAnsi="Cambria"/>
          <w:b/>
          <w:bCs/>
          <w:color w:val="1B2433"/>
          <w:sz w:val="27"/>
          <w:szCs w:val="27"/>
        </w:rPr>
        <w:t xml:space="preserve">7.2 Gate 3 — can it be engineered?</w:t>
      </w:r>
    </w:p>
    <w:p>
      <w:pPr>
        <w:spacing w:after="140" w:before="0" w:line="276"/>
        <w:jc w:val="left"/>
      </w:pPr>
      <w:r>
        <w:rPr>
          <w:rFonts w:ascii="Calibri" w:cs="Calibri" w:eastAsia="Calibri" w:hAnsi="Calibri"/>
          <w:color w:val="1B2433"/>
          <w:sz w:val="22"/>
          <w:szCs w:val="22"/>
        </w:rPr>
        <w:t xml:space="preserve">Gate 3 asks whether a real, replicated, energy-balance-defying effect can be made into something with a power density on a path to usefulness. Its content — device arrays, materials and process development, lifetime and stability characterization — is ordinary engineering and is deliberately unspecified here, because designing it before Gate 2 has said what the effect is would be an exercise in fiction. Gate 3 ends with third-party validation by a national laboratory or university group and, if that validation succeeds, EnergyWave’s first public performance disclosure: the first watt, efficiency or runtime figure the company will ever state. The fourteen orders of magnitude in Section 3.4 are the honest measure of how far Gate 3 is from the motivating application.</w:t>
      </w:r>
    </w:p>
    <w:p>
      <w:pPr>
        <w:pStyle w:val="Heading1"/>
        <w:spacing w:after="160" w:before="360"/>
      </w:pPr>
      <w:r>
        <w:rPr>
          <w:rFonts w:ascii="Cambria" w:cs="Cambria" w:eastAsia="Cambria" w:hAnsi="Cambria"/>
          <w:b/>
          <w:bCs/>
          <w:color w:val="1B2433"/>
          <w:sz w:val="34"/>
          <w:szCs w:val="34"/>
        </w:rPr>
        <w:t xml:space="preserve">8. Publication, validation and governance</w:t>
      </w:r>
    </w:p>
    <w:p>
      <w:pPr>
        <w:pStyle w:val="ListParagraph"/>
        <w:numPr>
          <w:ilvl w:val="0"/>
          <w:numId w:val="3"/>
        </w:numPr>
        <w:spacing w:after="80" w:line="264"/>
      </w:pPr>
      <w:r>
        <w:rPr>
          <w:rFonts w:ascii="Calibri" w:cs="Calibri" w:eastAsia="Calibri" w:hAnsi="Calibri"/>
          <w:b/>
          <w:bCs/>
          <w:color w:val="1B2433"/>
          <w:sz w:val="22"/>
          <w:szCs w:val="22"/>
        </w:rPr>
        <w:t xml:space="preserve">Pre-registration. </w:t>
      </w:r>
      <w:r>
        <w:rPr>
          <w:rFonts w:ascii="Calibri" w:cs="Calibri" w:eastAsia="Calibri" w:hAnsi="Calibri"/>
          <w:color w:val="1B2433"/>
          <w:sz w:val="22"/>
          <w:szCs w:val="22"/>
        </w:rPr>
        <w:t xml:space="preserve">Hypotheses, device matrix, measurement sequence, analysis code and stopping rules are deposited in a public, timestamped registry (such as the Open Science Framework) before each gate, after advisory-board review.</w:t>
      </w:r>
    </w:p>
    <w:p>
      <w:pPr>
        <w:pStyle w:val="ListParagraph"/>
        <w:numPr>
          <w:ilvl w:val="0"/>
          <w:numId w:val="3"/>
        </w:numPr>
        <w:spacing w:after="80" w:line="264"/>
      </w:pPr>
      <w:r>
        <w:rPr>
          <w:rFonts w:ascii="Calibri" w:cs="Calibri" w:eastAsia="Calibri" w:hAnsi="Calibri"/>
          <w:b/>
          <w:bCs/>
          <w:color w:val="1B2433"/>
          <w:sz w:val="22"/>
          <w:szCs w:val="22"/>
        </w:rPr>
        <w:t xml:space="preserve">Null results are published. </w:t>
      </w:r>
      <w:r>
        <w:rPr>
          <w:rFonts w:ascii="Calibri" w:cs="Calibri" w:eastAsia="Calibri" w:hAnsi="Calibri"/>
          <w:color w:val="1B2433"/>
          <w:sz w:val="22"/>
          <w:szCs w:val="22"/>
        </w:rPr>
        <w:t xml:space="preserve">Every gate ends in a report with raw data and code, submitted for peer review whatever the outcome; a null result is a deliverable, not a failure.</w:t>
      </w:r>
    </w:p>
    <w:p>
      <w:pPr>
        <w:pStyle w:val="ListParagraph"/>
        <w:numPr>
          <w:ilvl w:val="0"/>
          <w:numId w:val="3"/>
        </w:numPr>
        <w:spacing w:after="80" w:line="264"/>
      </w:pPr>
      <w:r>
        <w:rPr>
          <w:rFonts w:ascii="Calibri" w:cs="Calibri" w:eastAsia="Calibri" w:hAnsi="Calibri"/>
          <w:b/>
          <w:bCs/>
          <w:color w:val="1B2433"/>
          <w:sz w:val="22"/>
          <w:szCs w:val="22"/>
        </w:rPr>
        <w:t xml:space="preserve">Replication is budgeted and contracted in advance. </w:t>
      </w:r>
      <w:r>
        <w:rPr>
          <w:rFonts w:ascii="Calibri" w:cs="Calibri" w:eastAsia="Calibri" w:hAnsi="Calibri"/>
          <w:color w:val="1B2433"/>
          <w:sz w:val="22"/>
          <w:szCs w:val="22"/>
        </w:rPr>
        <w:t xml:space="preserve">The Gate 2 partner is under contract before Gate 2 begins; Gate 3 validation is contracted before Gate 3 begins.</w:t>
      </w:r>
    </w:p>
    <w:p>
      <w:pPr>
        <w:pStyle w:val="ListParagraph"/>
        <w:numPr>
          <w:ilvl w:val="0"/>
          <w:numId w:val="3"/>
        </w:numPr>
        <w:spacing w:after="80" w:line="264"/>
      </w:pPr>
      <w:r>
        <w:rPr>
          <w:rFonts w:ascii="Calibri" w:cs="Calibri" w:eastAsia="Calibri" w:hAnsi="Calibri"/>
          <w:b/>
          <w:bCs/>
          <w:color w:val="1B2433"/>
          <w:sz w:val="22"/>
          <w:szCs w:val="22"/>
        </w:rPr>
        <w:t xml:space="preserve">External scientific advisory board. </w:t>
      </w:r>
      <w:r>
        <w:rPr>
          <w:rFonts w:ascii="Calibri" w:cs="Calibri" w:eastAsia="Calibri" w:hAnsi="Calibri"/>
          <w:color w:val="1B2433"/>
          <w:sz w:val="22"/>
          <w:szCs w:val="22"/>
        </w:rPr>
        <w:t xml:space="preserve">Three to five independent physicists, at least one with a published critical position on vacuum-energy claims, with a veto over any public performance statement and responsibility for certifying each gate report. Members are compensated for time, hold no equity, and are named publicly.</w:t>
      </w:r>
    </w:p>
    <w:p>
      <w:pPr>
        <w:pStyle w:val="ListParagraph"/>
        <w:numPr>
          <w:ilvl w:val="0"/>
          <w:numId w:val="3"/>
        </w:numPr>
        <w:spacing w:after="80" w:line="264"/>
      </w:pPr>
      <w:r>
        <w:rPr>
          <w:rFonts w:ascii="Calibri" w:cs="Calibri" w:eastAsia="Calibri" w:hAnsi="Calibri"/>
          <w:b/>
          <w:bCs/>
          <w:color w:val="1B2433"/>
          <w:sz w:val="22"/>
          <w:szCs w:val="22"/>
        </w:rPr>
        <w:t xml:space="preserve">No performance claims before Gate 3 validation. </w:t>
      </w:r>
      <w:r>
        <w:rPr>
          <w:rFonts w:ascii="Calibri" w:cs="Calibri" w:eastAsia="Calibri" w:hAnsi="Calibri"/>
          <w:color w:val="1B2433"/>
          <w:sz w:val="22"/>
          <w:szCs w:val="22"/>
        </w:rPr>
        <w:t xml:space="preserve">No watt, efficiency or runtime is attributed to any EnergyWave device in any document, presentation or website until independently validated.</w:t>
      </w:r>
    </w:p>
    <w:p>
      <w:pPr>
        <w:pStyle w:val="ListParagraph"/>
        <w:numPr>
          <w:ilvl w:val="0"/>
          <w:numId w:val="3"/>
        </w:numPr>
        <w:spacing w:after="80" w:line="264"/>
      </w:pPr>
      <w:r>
        <w:rPr>
          <w:rFonts w:ascii="Calibri" w:cs="Calibri" w:eastAsia="Calibri" w:hAnsi="Calibri"/>
          <w:b/>
          <w:bCs/>
          <w:color w:val="1B2433"/>
          <w:sz w:val="22"/>
          <w:szCs w:val="22"/>
        </w:rPr>
        <w:t xml:space="preserve">Escrowed tranches. </w:t>
      </w:r>
      <w:r>
        <w:rPr>
          <w:rFonts w:ascii="Calibri" w:cs="Calibri" w:eastAsia="Calibri" w:hAnsi="Calibri"/>
          <w:color w:val="1B2433"/>
          <w:sz w:val="22"/>
          <w:szCs w:val="22"/>
        </w:rPr>
        <w:t xml:space="preserve">Capital for Gates 2 and 3 is held in escrow from the close and released only on a certified, published gate report; unspent escrow returns on a kill.</w:t>
      </w:r>
    </w:p>
    <w:p>
      <w:pPr>
        <w:pStyle w:val="ListParagraph"/>
        <w:numPr>
          <w:ilvl w:val="0"/>
          <w:numId w:val="3"/>
        </w:numPr>
        <w:spacing w:after="80" w:line="264"/>
      </w:pPr>
      <w:r>
        <w:rPr>
          <w:rFonts w:ascii="Calibri" w:cs="Calibri" w:eastAsia="Calibri" w:hAnsi="Calibri"/>
          <w:b/>
          <w:bCs/>
          <w:color w:val="1B2433"/>
          <w:sz w:val="22"/>
          <w:szCs w:val="22"/>
        </w:rPr>
        <w:t xml:space="preserve">Entity separation. </w:t>
      </w:r>
      <w:r>
        <w:rPr>
          <w:rFonts w:ascii="Calibri" w:cs="Calibri" w:eastAsia="Calibri" w:hAnsi="Calibri"/>
          <w:color w:val="1B2433"/>
          <w:sz w:val="22"/>
          <w:szCs w:val="22"/>
        </w:rPr>
        <w:t xml:space="preserve">EnergyWave Inc. is the sole operating entity; no commingling with McLean Companies LLC or the founder’s GovThink initiative; related-party arrangements disclosed in the data room.</w:t>
      </w:r>
    </w:p>
    <w:p>
      <w:pPr>
        <w:pStyle w:val="ListParagraph"/>
        <w:numPr>
          <w:ilvl w:val="0"/>
          <w:numId w:val="3"/>
        </w:numPr>
        <w:spacing w:after="80" w:line="264"/>
      </w:pPr>
      <w:r>
        <w:rPr>
          <w:rFonts w:ascii="Calibri" w:cs="Calibri" w:eastAsia="Calibri" w:hAnsi="Calibri"/>
          <w:b/>
          <w:bCs/>
          <w:color w:val="1B2433"/>
          <w:sz w:val="22"/>
          <w:szCs w:val="22"/>
        </w:rPr>
        <w:t xml:space="preserve">Open methods. </w:t>
      </w:r>
      <w:r>
        <w:rPr>
          <w:rFonts w:ascii="Calibri" w:cs="Calibri" w:eastAsia="Calibri" w:hAnsi="Calibri"/>
          <w:color w:val="1B2433"/>
          <w:sz w:val="22"/>
          <w:szCs w:val="22"/>
        </w:rPr>
        <w:t xml:space="preserve">The platform design, artifact catalogue and error-budget methodology are published so that any laboratory can reproduce the measurement, not only the result.</w:t>
      </w:r>
    </w:p>
    <w:p>
      <w:pPr>
        <w:spacing w:after="140" w:before="0" w:line="276"/>
        <w:jc w:val="left"/>
      </w:pPr>
      <w:r>
        <w:rPr>
          <w:rFonts w:ascii="Calibri" w:cs="Calibri" w:eastAsia="Calibri" w:hAnsi="Calibri"/>
          <w:color w:val="1B2433"/>
          <w:sz w:val="22"/>
          <w:szCs w:val="22"/>
        </w:rPr>
        <w:t xml:space="preserve">Counsel (K&amp;L Gates, Irvine) will advise which of these commitments belong in the charter, the investor rights agreement and the escrow agreement. EnergyWave’s intent is that they be covenants, not marketing.</w:t>
      </w:r>
    </w:p>
    <w:p>
      <w:pPr>
        <w:pStyle w:val="Heading1"/>
        <w:spacing w:after="160" w:before="360"/>
      </w:pPr>
      <w:r>
        <w:rPr>
          <w:rFonts w:ascii="Cambria" w:cs="Cambria" w:eastAsia="Cambria" w:hAnsi="Cambria"/>
          <w:b/>
          <w:bCs/>
          <w:color w:val="1B2433"/>
          <w:sz w:val="34"/>
          <w:szCs w:val="34"/>
        </w:rPr>
        <w:t xml:space="preserve">9. Timeline and resources</w:t>
      </w:r>
    </w:p>
    <w:p>
      <w:pPr>
        <w:spacing w:after="140" w:before="0" w:line="276"/>
        <w:jc w:val="left"/>
      </w:pPr>
      <w:r>
        <w:rPr>
          <w:rFonts w:ascii="Calibri" w:cs="Calibri" w:eastAsia="Calibri" w:hAnsi="Calibri"/>
          <w:color w:val="1B2433"/>
          <w:sz w:val="22"/>
          <w:szCs w:val="22"/>
        </w:rPr>
        <w:t xml:space="preserve">Month numbers, tranche sizes, headcount and equipment are placeholders here and are governed by the EnergyWave financial workbook (36-month operating forecast, hiring model, use of funds, reserve calculation and scenario sheets), which is available in the data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4460"/>
        <w:gridCol w:w="2000"/>
      </w:tblGrid>
      <w:tr>
        <w:trPr>
          <w:tblHeader/>
        </w:trPr>
        <w:tc>
          <w:tcPr>
            <w:tcW w:type="dxa" w:w="19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Phase</w:t>
            </w:r>
          </w:p>
        </w:tc>
        <w:tc>
          <w:tcPr>
            <w:tcW w:type="dxa" w:w="10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Months</w:t>
            </w:r>
          </w:p>
        </w:tc>
        <w:tc>
          <w:tcPr>
            <w:tcW w:type="dxa" w:w="446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Principal activities</w:t>
            </w:r>
          </w:p>
        </w:tc>
        <w:tc>
          <w:tcPr>
            <w:tcW w:type="dxa" w:w="20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Capital</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Close and formation</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M0</w:t>
            </w:r>
          </w:p>
        </w:tc>
        <w:tc>
          <w:tcPr>
            <w:tcW w:type="dxa" w:w="44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Close Tranche A; form EnergyWave Inc.; appoint advisory board; contract Gate 2 replication partner; hire principal investigator (a condition of Tranche A).</w:t>
            </w:r>
          </w:p>
        </w:tc>
        <w:tc>
          <w:tcPr>
            <w:tcW w:type="dxa" w:w="20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Tranche A $[A]M</w:t>
            </w:r>
          </w:p>
        </w:tc>
      </w:tr>
      <w:tr>
        <w:trPr>
          <w:cantSplit/>
        </w:trPr>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1 — commissioning</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M[1–6]</w:t>
            </w:r>
          </w:p>
        </w:tc>
        <w:tc>
          <w:tcPr>
            <w:tcW w:type="dxa" w:w="44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Platform build and characterization on dead devices; error budget; methods paper; pre-registration filed.</w:t>
            </w:r>
          </w:p>
        </w:tc>
        <w:tc>
          <w:tcPr>
            <w:tcW w:type="dxa" w:w="2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1 — experiments</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M[6–12]</w:t>
            </w:r>
          </w:p>
        </w:tc>
        <w:tc>
          <w:tcPr>
            <w:tcW w:type="dxa" w:w="44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Workstreams 1A, 1B, 1C; blinded runs; Gate 1 report; publication; board certification; tranche decision.</w:t>
            </w:r>
          </w:p>
        </w:tc>
        <w:tc>
          <w:tcPr>
            <w:tcW w:type="dxa" w:w="20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w:t>
            </w:r>
          </w:p>
        </w:tc>
      </w:tr>
      <w:tr>
        <w:trPr>
          <w:cantSplit/>
        </w:trPr>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2</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M[12–24]</w:t>
            </w:r>
          </w:p>
        </w:tc>
        <w:tc>
          <w:tcPr>
            <w:tcW w:type="dxa" w:w="44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Calorimetry; mechanism discrimination; second-laboratory replication; Gate 2 report; decision.</w:t>
            </w:r>
          </w:p>
        </w:tc>
        <w:tc>
          <w:tcPr>
            <w:tcW w:type="dxa" w:w="2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Tranche B $[B]M (escrow)</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3</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M[24–36]</w:t>
            </w:r>
          </w:p>
        </w:tc>
        <w:tc>
          <w:tcPr>
            <w:tcW w:type="dxa" w:w="44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Arrays; lifetime and power-density characterization; third-party validation; first performance disclosure.</w:t>
            </w:r>
          </w:p>
        </w:tc>
        <w:tc>
          <w:tcPr>
            <w:tcW w:type="dxa" w:w="20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Tranche C $[C]M (escrow)</w:t>
            </w:r>
          </w:p>
        </w:tc>
      </w:tr>
    </w:tbl>
    <w:p>
      <w:pPr>
        <w:spacing w:after="80"/>
      </w:pPr>
    </w:p>
    <w:p>
      <w:pPr>
        <w:spacing w:after="140" w:before="0" w:line="276"/>
        <w:jc w:val="left"/>
      </w:pPr>
      <w:r>
        <w:rPr>
          <w:rFonts w:ascii="Calibri" w:cs="Calibri" w:eastAsia="Calibri" w:hAnsi="Calibri"/>
          <w:color w:val="1B2433"/>
          <w:sz w:val="22"/>
          <w:szCs w:val="22"/>
        </w:rPr>
        <w:t xml:space="preserve">Core team (from the workbook’s hiring model): a principal investigator with Casimir-force or MIM-device measurement experience; a nanofabrication engineer; a measurement and instrumentation engineer; a laboratory manager. Fabrication is done through foundry and university cleanroom access with in-house post-processing; the platform of Section 6.3 is the principal capital item. [Workbook: equipment line items, facility, headcount by month.]</w:t>
      </w:r>
    </w:p>
    <w:p>
      <w:pPr>
        <w:pStyle w:val="Heading1"/>
        <w:spacing w:after="160" w:before="360"/>
      </w:pPr>
      <w:r>
        <w:rPr>
          <w:rFonts w:ascii="Cambria" w:cs="Cambria" w:eastAsia="Cambria" w:hAnsi="Cambria"/>
          <w:b/>
          <w:bCs/>
          <w:color w:val="1B2433"/>
          <w:sz w:val="34"/>
          <w:szCs w:val="34"/>
        </w:rPr>
        <w:t xml:space="preserve">10. Risks and honest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Risk</w:t>
            </w:r>
          </w:p>
        </w:tc>
        <w:tc>
          <w:tcPr>
            <w:tcW w:type="dxa" w:w="39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What it means</w:t>
            </w:r>
          </w:p>
        </w:tc>
        <w:tc>
          <w:tcPr>
            <w:tcW w:type="dxa" w:w="396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What the structure does about it</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Scientific</w:t>
            </w:r>
          </w:p>
        </w:tc>
        <w:tc>
          <w:tcPr>
            <w:tcW w:type="dxa" w:w="3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The mainstream prior is that the answer is “no”. The most likely outcome of the program is a published null at Gate 1.</w:t>
            </w:r>
          </w:p>
        </w:tc>
        <w:tc>
          <w:tcPr>
            <w:tcW w:type="dxa" w:w="39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 1 is cheap and decisive; later tranches are escrowed; a null is a publishable deliverable.</w:t>
            </w:r>
          </w:p>
        </w:tc>
      </w:tr>
      <w:tr>
        <w:trPr>
          <w:cantSplit/>
        </w:trPr>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Artifact</w:t>
            </w:r>
          </w:p>
        </w:tc>
        <w:tc>
          <w:tcPr>
            <w:tcW w:type="dxa" w:w="3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Picowatt signals are easily manufactured by the sources in Section 6.4.</w:t>
            </w:r>
          </w:p>
        </w:tc>
        <w:tc>
          <w:tcPr>
            <w:tcW w:type="dxa" w:w="39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The artifact catalogue, twins and blinding are the core of Gate 1, not an afterthought.</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Reputational</w:t>
            </w:r>
          </w:p>
        </w:tc>
        <w:tc>
          <w:tcPr>
            <w:tcW w:type="dxa" w:w="3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The field is crowded with unsubstantiated claims and the company will be judged by association.</w:t>
            </w:r>
          </w:p>
        </w:tc>
        <w:tc>
          <w:tcPr>
            <w:tcW w:type="dxa" w:w="39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Claims discipline; published nulls; an advisory board with a critic on it; no performance statements.</w:t>
            </w:r>
          </w:p>
        </w:tc>
      </w:tr>
      <w:tr>
        <w:trPr>
          <w:cantSplit/>
        </w:trPr>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Team</w:t>
            </w:r>
          </w:p>
        </w:tc>
        <w:tc>
          <w:tcPr>
            <w:tcW w:type="dxa" w:w="3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No principal investigator is yet in place.</w:t>
            </w:r>
          </w:p>
        </w:tc>
        <w:tc>
          <w:tcPr>
            <w:tcW w:type="dxa" w:w="39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The PI hire is a Tranche A condition; the board is recruited before close.</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Entity and legal</w:t>
            </w:r>
          </w:p>
        </w:tc>
        <w:tc>
          <w:tcPr>
            <w:tcW w:type="dxa" w:w="39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EnergyWave Inc. is not yet formed; the founder has other active entities.</w:t>
            </w:r>
          </w:p>
        </w:tc>
        <w:tc>
          <w:tcPr>
            <w:tcW w:type="dxa" w:w="39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K&amp;L Gates engaged; full related-party disclosure; Section 8 covenants.</w:t>
            </w:r>
          </w:p>
        </w:tc>
      </w:tr>
      <w:tr>
        <w:trPr>
          <w:cantSplit/>
        </w:trPr>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Capital</w:t>
            </w:r>
          </w:p>
        </w:tc>
        <w:tc>
          <w:tcPr>
            <w:tcW w:type="dxa" w:w="3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 three-year program with a high probability of an early stop.</w:t>
            </w:r>
          </w:p>
        </w:tc>
        <w:tc>
          <w:tcPr>
            <w:tcW w:type="dxa" w:w="39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Tranches follow gates; unspent escrow returns on a kill.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C" w:sz="4"/>
              <w:left w:val="single" w:color="C9D2DC" w:sz="4"/>
              <w:bottom w:val="single" w:color="C9D2DC" w:sz="4"/>
              <w:right w:val="single" w:color="C9D2DC" w:sz="4"/>
            </w:tcBorders>
            <w:shd w:fill="EEF3F7" w:color="auto" w:val="clear"/>
            <w:tcMar>
              <w:top w:type="dxa" w:w="120"/>
              <w:left w:type="dxa" w:w="160"/>
              <w:bottom w:type="dxa" w:w="120"/>
              <w:right w:type="dxa" w:w="160"/>
            </w:tcMar>
          </w:tcPr>
          <w:p>
            <w:pPr>
              <w:spacing w:after="60"/>
            </w:pPr>
            <w:r>
              <w:rPr>
                <w:rFonts w:ascii="Calibri" w:cs="Calibri" w:eastAsia="Calibri" w:hAnsi="Calibri"/>
                <w:b/>
                <w:bCs/>
                <w:color w:val="0F766E"/>
                <w:sz w:val="21"/>
                <w:szCs w:val="21"/>
              </w:rPr>
              <w:t xml:space="preserve">What EnergyWave asks a physicist reading this to do</w:t>
            </w:r>
          </w:p>
          <w:p>
            <w:pPr>
              <w:spacing w:after="60" w:line="264"/>
            </w:pPr>
            <w:r>
              <w:rPr>
                <w:rFonts w:ascii="Calibri" w:cs="Calibri" w:eastAsia="Calibri" w:hAnsi="Calibri"/>
                <w:color w:val="1B2433"/>
                <w:sz w:val="20"/>
                <w:szCs w:val="20"/>
              </w:rPr>
              <w:t xml:space="preserve">Find the artifact this protocol would miss. Find the catalogue row that is missing. Find the place where the language promises more than the data could support. Every such finding improves the pre-registration, and the advisory board seat exists so that these findings have a veto attached.</w:t>
            </w:r>
          </w:p>
        </w:tc>
      </w:tr>
    </w:tbl>
    <w:p>
      <w:pPr>
        <w:pStyle w:val="Heading1"/>
        <w:spacing w:after="160" w:before="360"/>
      </w:pPr>
      <w:r>
        <w:rPr>
          <w:rFonts w:ascii="Cambria" w:cs="Cambria" w:eastAsia="Cambria" w:hAnsi="Cambria"/>
          <w:b/>
          <w:bCs/>
          <w:color w:val="1B2433"/>
          <w:sz w:val="34"/>
          <w:szCs w:val="34"/>
        </w:rPr>
        <w:t xml:space="preserve">Appendix A — References (verified against primary sources, 7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rPr>
          <w:tblHeader/>
        </w:trPr>
        <w:tc>
          <w:tcPr>
            <w:tcW w:type="dxa" w:w="5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7"/>
                <w:szCs w:val="17"/>
              </w:rPr>
              <w:t xml:space="preserve">#</w:t>
            </w:r>
          </w:p>
        </w:tc>
        <w:tc>
          <w:tcPr>
            <w:tcW w:type="dxa" w:w="726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7"/>
                <w:szCs w:val="17"/>
              </w:rPr>
              <w:t xml:space="preserve">Reference</w:t>
            </w:r>
          </w:p>
        </w:tc>
        <w:tc>
          <w:tcPr>
            <w:tcW w:type="dxa" w:w="16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7"/>
                <w:szCs w:val="17"/>
              </w:rPr>
              <w:t xml:space="preserve">Status</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H. B. G. Casimir, “On the attraction between two perfectly conducting plates,” Proc. Kon. Ned. Akad. Wetensch. B51, 793–795 (1948).</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Established</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S. K. Lamoreaux, “Demonstration of the Casimir force in the 0.6 to 6 μm range,” Phys. Rev. Lett. 78, 5 (1997), doi:10.1103/PhysRevLett.78.5; erratum PRL 81, 5475 (1998); comment A. Lambrecht &amp; S. Reynaud, PRL 84, 5672 (2000).</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3</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U. Mohideen &amp; A. Roy, “Precision measurement of the Casimir force from 0.1 to 0.9 μm,” Phys. Rev. Lett. 81, 4549 (1998), doi:10.1103/PhysRevLett.81.4549.</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4</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G. Bressi, G. Carugno, R. Onofrio &amp; G. Ruoso, “Measurement of the Casimir force between parallel metallic surfaces,” Phys. Rev. Lett. 88, 041804 (2002), doi:10.1103/PhysRevLett.88.041804.</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5</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G. L. Klimchitskaya, U. Mohideen &amp; V. M. Mostepanenko, “The Casimir force between real materials: experiment and theory,” Rev. Mod. Phys. 81, 1827 (2009), doi:10.1103/RevModPhys.81.1827.</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Established (review)</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6</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J. N. Munday, F. Capasso &amp; V. A. Parsegian, “Measured long-range repulsive Casimir–Lifshitz forces,” Nature 457, 170–173 (2009), doi:10.1038/nature07610.</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7</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F. Intravaia et al., “Strong Casimir force reduction through metallic surface nanostructuring,” Nature Communications 4, 2515 (2013), doi:10.1038/ncomms3515.</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8</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 Zhao et al. (X. Zhang group), “Stable Casimir equilibria and quantum trapping,” Science 364, 984–987 (2019), doi:10.1126/science.aax0916.</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9</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D. A. T. Somers, J. L. Garrett, K. J. Palm &amp; J. N. Munday, “Measurement of the Casimir torque,” Nature 564, 386–389 (2018), doi:10.1038/s41586-018-0777-8.</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10</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Y. Zhang et al., “Magnetic-field tuning of the Casimir force,” Nature Physics 20, 1282–1287 (2024), doi:10.1038/s41567-024-02521-0.</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11</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A. A. Banishev et al., “Measuring the Casimir force gradient from graphene on a SiO₂ substrate,” Phys. Rev. B 87, 205433 (2013).</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12</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M. Liu, Y. Zhang, G. L. Klimchitskaya, V. M. Mostepanenko &amp; U. Mohideen, “Demonstration of an unusual thermal effect in the Casimir force from graphene,” Phys. Rev. Lett. 126, 206802 (2021), doi:10.1103/PhysRevLett.126.206802.</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13</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F. S. S. Rosa, D. A. R. Dalvit &amp; P. W. Milonni, “Casimir–Lifshitz theory and metamaterials,” Phys. Rev. Lett. 100, 183602 (2008), doi:10.1103/PhysRevLett.100.183602.</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Proposed (theory)</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14</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C. M. Wilson et al., “Observation of the dynamical Casimir effect in a superconducting circuit,” Nature 479, 376–379 (2011), doi:10.1038/nature10561.</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15</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 Lähteenmäki, G. S. Paraoanu, J. Hassel &amp; P. J. Hakonen, “Dynamical Casimir effect in a Josephson metamaterial,” PNAS 110, 4234–4238 (2013), doi:10.1073/pnas.1212705110.</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16</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 D. Nation, J. R. Johansson, M. P. Blencowe &amp; F. Nori, “Stimulating uncertainty: amplifying the quantum vacuum with superconducting circuits,” Rev. Mod. Phys. 84, 1 (2012), doi:10.1103/RevModPhys.84.1.</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Review</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17</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 L. Forward, “Extracting electrical energy from the vacuum by cohesion of charged foliated conductors,” Phys. Rev. B 30, 1700 (1984), doi:10.1103/PhysRevB.30.1700.</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Proposed</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18</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F. Pinto, “Engine cycle of an optically controlled vacuum energy transducer,” Phys. Rev. B 60, 14740 (1999), doi:10.1103/PhysRevB.60.14740.</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Proposed / disputed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19</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B. Haisch &amp; G. Moddel, “Quantum vacuum energy extraction,” U.S. Patent 7,379,286 B2 (filed 2005, granted 27 May 2008).</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Proposed (patent)</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20</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 Dmitriyeva &amp; G. Moddel, Physics Procedia 38, 8–17 (2012) — cited as summarized in [21]; abstract not independently verified.</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Claimed / inconclusive</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21</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G. Moddel &amp; O. Dmitriyeva, “Extraction of zero-point energy from the vacuum: assessment of stochastic electrodynamics-based approach as compared to other methods,” Atoms 7, 51 (2019), doi:10.3390/atoms7020051.</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Review by proponents</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22</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G. Moddel, A. Weerakkody, D. Doroski &amp; D. Bartusiak, “Casimir-cavity-induced conductance changes,” Phys. Rev. Research 3, L022007 (2021), doi:10.1103/PhysRevResearch.3.L022007.</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Claimed, not replicated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23</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G. Moddel, A. Weerakkody, D. Doroski &amp; D. Bartusiak, “Optical-cavity-induced current,” Symmetry 13, 517 (2021), doi:10.3390/sym13030517.</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Claimed, not replicated; mechanism disputed</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24</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G. J. Maclay, “Modeling electronic devices with a Casimir cavity,” Physics 6, 1124–1131 (2024), doi:10.3390/physics6030070.</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Critique</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25</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L. Brillouin, “Can the rectifier become a thermodynamical demon?,” Phys. Rev. 78, 627 (1950), doi:10.1103/PhysRev.78.627.2.</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Established</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26</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 P. Feynman, R. B. Leighton &amp; M. Sands, The Feynman Lectures on Physics, Vol. I, Ch. 46, “Ratchet and pawl” (1963).</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Established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27</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 W. Milonni, The Quantum Vacuum: An Introduction to Quantum Electrodynamics (Academic Press, 1994).</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Textbook</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28</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M. Visser, J. Baez &amp; P. Deck, “What is the ‘zero-point energy’ … is it really possible that we could harness this energy?,” Scientific American, Ask the Experts (18 Aug 1997).</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Expert commentary</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29</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A. Stange, D. K. Campbell &amp; D. J. Bishop, “Science and technology of the Casimir effect,” Physics Today 74(1), 42 (2021), doi:10.1063/PT.3.4656.</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Review</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30</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D. Polder &amp; M. Van Hove, “Theory of radiative heat transfer between closely spaced bodies,” Phys. Rev. B 4, 3303 (1971), doi:10.1103/PhysRevB.4.3303.</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Established</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31</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A. Fiorino et al., “Nanogap near-field thermophotovoltaics,” Nature Nanotechnology 13 (2018), doi:10.1038/s41565-018-0172-5.</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Observed</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32</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N. Kashiri et al., “An overview on principles for energy efficient robot locomotion,” Frontiers in Robotics and AI 5, 129 (2018), doi:10.3389/frobt.2018.00129.</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Review</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33</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FAO/WHO/UNU, Human Energy Requirements: Report of a Joint Expert Consultation (2004), Chapter 5 worked examples.</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Reference data</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34</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FAO, Food Energy — Methods of Analysis and Conversion Factors, Food and Nutrition Paper 77 (2003): Atwater general factors.</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Reference data</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35</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U.S. Department of Energy, “Battery500 progress update” (19 May 2020).</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Reference data</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36</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BatteryDesign.net, cell gravimetric energy density and pack gravimetric energy density benchmark pages (2022–2026).</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Reference data</w:t>
            </w:r>
          </w:p>
        </w:tc>
      </w:tr>
      <w:tr>
        <w:trPr>
          <w:cantSplit/>
        </w:trPr>
        <w:tc>
          <w:tcPr>
            <w:tcW w:type="dxa" w:w="5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37</w:t>
            </w:r>
          </w:p>
        </w:tc>
        <w:tc>
          <w:tcPr>
            <w:tcW w:type="dxa" w:w="72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A. Rex, “Maxwell’s demon — a historical review,” Entropy 19, 240 (2017), doi:10.3390/e19060240.</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Review</w:t>
            </w:r>
          </w:p>
        </w:tc>
      </w:tr>
      <w:tr>
        <w:trPr>
          <w:cantSplit/>
        </w:trPr>
        <w:tc>
          <w:tcPr>
            <w:tcW w:type="dxa" w:w="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38</w:t>
            </w:r>
          </w:p>
        </w:tc>
        <w:tc>
          <w:tcPr>
            <w:tcW w:type="dxa" w:w="72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Press coverage of Casimir Inc. “MicroSparc” announcement, 12–13 May 2026 (The Debrief and others).</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7"/>
                <w:szCs w:val="17"/>
              </w:rPr>
              <w:t xml:space="preserve">Company claim</w:t>
            </w:r>
          </w:p>
        </w:tc>
      </w:tr>
    </w:tbl>
    <w:p>
      <w:pPr>
        <w:pStyle w:val="Heading1"/>
        <w:spacing w:after="160" w:before="360"/>
      </w:pPr>
      <w:r>
        <w:rPr>
          <w:rFonts w:ascii="Cambria" w:cs="Cambria" w:eastAsia="Cambria" w:hAnsi="Cambria"/>
          <w:b/>
          <w:bCs/>
          <w:color w:val="1B2433"/>
          <w:sz w:val="34"/>
          <w:szCs w:val="34"/>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Term</w:t>
            </w:r>
          </w:p>
        </w:tc>
        <w:tc>
          <w:tcPr>
            <w:tcW w:type="dxa" w:w="716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Meaning in this document</w:t>
            </w:r>
          </w:p>
        </w:tc>
      </w:tr>
      <w:tr>
        <w:trPr>
          <w:cantSplit/>
        </w:trPr>
        <w:tc>
          <w:tcPr>
            <w:tcW w:type="dxa" w:w="22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Artifact floor</w:t>
            </w:r>
          </w:p>
        </w:tc>
        <w:tc>
          <w:tcPr>
            <w:tcW w:type="dxa" w:w="71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The quadrature sum of measured upper bounds on spurious output from every catalogue row, in the platform as built.</w:t>
            </w:r>
          </w:p>
        </w:tc>
      </w:tr>
      <w:tr>
        <w:trPr>
          <w:cantSplit/>
        </w:trPr>
        <w:tc>
          <w:tcPr>
            <w:tcW w:type="dxa" w:w="2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Blinded run</w:t>
            </w:r>
          </w:p>
        </w:tc>
        <w:tc>
          <w:tcPr>
            <w:tcW w:type="dxa" w:w="71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 measurement in which the operator does not know whether the device carries a cavity; keys are held outside the measurement team.</w:t>
            </w:r>
          </w:p>
        </w:tc>
      </w:tr>
      <w:tr>
        <w:trPr>
          <w:cantSplit/>
        </w:trPr>
        <w:tc>
          <w:tcPr>
            <w:tcW w:type="dxa" w:w="22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Casimir cavity</w:t>
            </w:r>
          </w:p>
        </w:tc>
        <w:tc>
          <w:tcPr>
            <w:tcW w:type="dxa" w:w="71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Two closely spaced boundaries (here, a MIM diode surface and a mirror separated by a dielectric spacer) that suppress some electromagnetic modes between them.</w:t>
            </w:r>
          </w:p>
        </w:tc>
      </w:tr>
      <w:tr>
        <w:trPr>
          <w:cantSplit/>
        </w:trPr>
        <w:tc>
          <w:tcPr>
            <w:tcW w:type="dxa" w:w="2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Dead device</w:t>
            </w:r>
          </w:p>
        </w:tc>
        <w:tc>
          <w:tcPr>
            <w:tcW w:type="dxa" w:w="71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 structure with a deliberately open or shorted junction, used to measure instrument offsets against a known null.</w:t>
            </w:r>
          </w:p>
        </w:tc>
      </w:tr>
      <w:tr>
        <w:trPr>
          <w:cantSplit/>
        </w:trPr>
        <w:tc>
          <w:tcPr>
            <w:tcW w:type="dxa" w:w="22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Dynamical Casimir effect</w:t>
            </w:r>
          </w:p>
        </w:tc>
        <w:tc>
          <w:tcPr>
            <w:tcW w:type="dxa" w:w="71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Creation of real photons from vacuum fluctuations by a boundary moved or modulated at a substantial fraction of the speed of light; energy is supplied by the drive.</w:t>
            </w:r>
          </w:p>
        </w:tc>
      </w:tr>
      <w:tr>
        <w:trPr>
          <w:cantSplit/>
        </w:trPr>
        <w:tc>
          <w:tcPr>
            <w:tcW w:type="dxa" w:w="2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Gate</w:t>
            </w:r>
          </w:p>
        </w:tc>
        <w:tc>
          <w:tcPr>
            <w:tcW w:type="dxa" w:w="71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 pre-defined decision point with pass and kill criteria, a certified report and a publication, on which release of the next tranche depends.</w:t>
            </w:r>
          </w:p>
        </w:tc>
      </w:tr>
      <w:tr>
        <w:trPr>
          <w:cantSplit/>
        </w:trPr>
        <w:tc>
          <w:tcPr>
            <w:tcW w:type="dxa" w:w="22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MIM diode</w:t>
            </w:r>
          </w:p>
        </w:tc>
        <w:tc>
          <w:tcPr>
            <w:tcW w:type="dxa" w:w="71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Metal–insulator–metal tunnel junction; here Ni/NiOₓ–Al₂O₃/Pd as in the published recipe.</w:t>
            </w:r>
          </w:p>
        </w:tc>
      </w:tr>
      <w:tr>
        <w:trPr>
          <w:cantSplit/>
        </w:trPr>
        <w:tc>
          <w:tcPr>
            <w:tcW w:type="dxa" w:w="2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Pre-registration</w:t>
            </w:r>
          </w:p>
        </w:tc>
        <w:tc>
          <w:tcPr>
            <w:tcW w:type="dxa" w:w="71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Public, timestamped deposit of hypotheses, device matrix, measurement sequence, analysis code and stopping rules before data are taken.</w:t>
            </w:r>
          </w:p>
        </w:tc>
      </w:tr>
      <w:tr>
        <w:trPr>
          <w:cantSplit/>
        </w:trPr>
        <w:tc>
          <w:tcPr>
            <w:tcW w:type="dxa" w:w="22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Twin device</w:t>
            </w:r>
          </w:p>
        </w:tc>
        <w:tc>
          <w:tcPr>
            <w:tcW w:type="dxa" w:w="71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 control device from the same wafer and run lacking one element (cavity, spacer or mirror) of the full structure.</w:t>
            </w:r>
          </w:p>
        </w:tc>
      </w:tr>
      <w:tr>
        <w:trPr>
          <w:cantSplit/>
        </w:trPr>
        <w:tc>
          <w:tcPr>
            <w:tcW w:type="dxa" w:w="2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≥5σ</w:t>
            </w:r>
          </w:p>
        </w:tc>
        <w:tc>
          <w:tcPr>
            <w:tcW w:type="dxa" w:w="71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 signal at least five standard deviations above the empirical distribution of twins and dead devices measured under identical conditions.</w:t>
            </w:r>
          </w:p>
        </w:tc>
      </w:tr>
    </w:tbl>
    <w:p>
      <w:pPr>
        <w:pStyle w:val="Heading1"/>
        <w:spacing w:after="160" w:before="360"/>
      </w:pPr>
      <w:r>
        <w:rPr>
          <w:rFonts w:ascii="Cambria" w:cs="Cambria" w:eastAsia="Cambria" w:hAnsi="Cambria"/>
          <w:b/>
          <w:bCs/>
          <w:color w:val="1B2433"/>
          <w:sz w:val="34"/>
          <w:szCs w:val="34"/>
        </w:rPr>
        <w:t xml:space="preserve">Appendix C — Placeholder register</w:t>
      </w:r>
    </w:p>
    <w:p>
      <w:pPr>
        <w:spacing w:after="140" w:before="0" w:line="276"/>
        <w:jc w:val="left"/>
      </w:pPr>
      <w:r>
        <w:rPr>
          <w:rFonts w:ascii="Calibri" w:cs="Calibri" w:eastAsia="Calibri" w:hAnsi="Calibri"/>
          <w:color w:val="1B2433"/>
          <w:sz w:val="22"/>
          <w:szCs w:val="22"/>
        </w:rPr>
        <w:t xml:space="preserve">Every bracketed item in this document, and where it will be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Placeholder</w:t>
            </w:r>
          </w:p>
        </w:tc>
        <w:tc>
          <w:tcPr>
            <w:tcW w:type="dxa" w:w="5160"/>
            <w:tcBorders>
              <w:top w:val="single" w:color="C9D2DC" w:sz="4"/>
              <w:left w:val="single" w:color="C9D2DC" w:sz="4"/>
              <w:bottom w:val="single" w:color="C9D2DC" w:sz="4"/>
              <w:right w:val="single" w:color="C9D2DC" w:sz="4"/>
            </w:tcBorders>
            <w:shd w:fill="EEF3F7" w:color="auto" w:val="clear"/>
            <w:tcMar>
              <w:top w:type="dxa" w:w="60"/>
              <w:left w:type="dxa" w:w="90"/>
              <w:bottom w:type="dxa" w:w="60"/>
              <w:right w:type="dxa" w:w="90"/>
            </w:tcMar>
            <w:vAlign w:val="top"/>
          </w:tcPr>
          <w:p>
            <w:pPr>
              <w:spacing w:after="40" w:line="240"/>
            </w:pPr>
            <w:r>
              <w:rPr>
                <w:rFonts w:ascii="Calibri" w:cs="Calibri" w:eastAsia="Calibri" w:hAnsi="Calibri"/>
                <w:b/>
                <w:bCs/>
                <w:color w:val="1B2433"/>
                <w:sz w:val="18"/>
                <w:szCs w:val="18"/>
              </w:rPr>
              <w:t xml:space="preserve">Resolved by</w:t>
            </w:r>
          </w:p>
        </w:tc>
      </w:tr>
      <w:tr>
        <w:trPr>
          <w:cantSplit/>
        </w:trPr>
        <w:tc>
          <w:tcPr>
            <w:tcW w:type="dxa" w:w="42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Months [1–12], [12–24], [24–36]; M[1–6], M[6–12]</w:t>
            </w:r>
          </w:p>
        </w:tc>
        <w:tc>
          <w:tcPr>
            <w:tcW w:type="dxa" w:w="51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Financial workbook — milestone sheet</w:t>
            </w:r>
          </w:p>
        </w:tc>
      </w:tr>
      <w:tr>
        <w:trPr>
          <w:cantSplit/>
        </w:trPr>
        <w:tc>
          <w:tcPr>
            <w:tcW w:type="dxa" w:w="4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Tranche A/B/C $[ ]M</w:t>
            </w:r>
          </w:p>
        </w:tc>
        <w:tc>
          <w:tcPr>
            <w:tcW w:type="dxa" w:w="51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Financial workbook — raise sizing</w:t>
            </w:r>
          </w:p>
        </w:tc>
      </w:tr>
      <w:tr>
        <w:trPr>
          <w:cantSplit/>
        </w:trPr>
        <w:tc>
          <w:tcPr>
            <w:tcW w:type="dxa" w:w="42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 200] devices, [≥ 8] batches, factor of [10] floor margin</w:t>
            </w:r>
          </w:p>
        </w:tc>
        <w:tc>
          <w:tcPr>
            <w:tcW w:type="dxa" w:w="51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Pre-registered power analysis, after advisory-board review</w:t>
            </w:r>
          </w:p>
        </w:tc>
      </w:tr>
      <w:tr>
        <w:trPr>
          <w:cantSplit/>
        </w:trPr>
        <w:tc>
          <w:tcPr>
            <w:tcW w:type="dxa" w:w="4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[Internal device concept — to be specified]</w:t>
            </w:r>
          </w:p>
        </w:tc>
        <w:tc>
          <w:tcPr>
            <w:tcW w:type="dxa" w:w="51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Founder’s technical notes, before external scientific review</w:t>
            </w:r>
          </w:p>
        </w:tc>
      </w:tr>
      <w:tr>
        <w:trPr>
          <w:cantSplit/>
        </w:trPr>
        <w:tc>
          <w:tcPr>
            <w:tcW w:type="dxa" w:w="42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Headcount, equipment, facility</w:t>
            </w:r>
          </w:p>
        </w:tc>
        <w:tc>
          <w:tcPr>
            <w:tcW w:type="dxa" w:w="51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Financial workbook — hiring model and use of funds</w:t>
            </w:r>
          </w:p>
        </w:tc>
      </w:tr>
      <w:tr>
        <w:trPr>
          <w:cantSplit/>
        </w:trPr>
        <w:tc>
          <w:tcPr>
            <w:tcW w:type="dxa" w:w="4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Advisory board members, replication partner</w:t>
            </w:r>
          </w:p>
        </w:tc>
        <w:tc>
          <w:tcPr>
            <w:tcW w:type="dxa" w:w="516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Recruitment and contracting before close</w:t>
            </w:r>
          </w:p>
        </w:tc>
      </w:tr>
      <w:tr>
        <w:trPr>
          <w:cantSplit/>
        </w:trPr>
        <w:tc>
          <w:tcPr>
            <w:tcW w:type="dxa" w:w="420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Legal language</w:t>
            </w:r>
          </w:p>
        </w:tc>
        <w:tc>
          <w:tcPr>
            <w:tcW w:type="dxa" w:w="5160"/>
            <w:tcBorders>
              <w:top w:val="single" w:color="C9D2DC" w:sz="4"/>
              <w:left w:val="single" w:color="C9D2DC" w:sz="4"/>
              <w:bottom w:val="single" w:color="C9D2DC" w:sz="4"/>
              <w:right w:val="single" w:color="C9D2DC" w:sz="4"/>
            </w:tcBorders>
            <w:tcMar>
              <w:top w:type="dxa" w:w="60"/>
              <w:left w:type="dxa" w:w="90"/>
              <w:bottom w:type="dxa" w:w="60"/>
              <w:right w:type="dxa" w:w="90"/>
            </w:tcMar>
            <w:vAlign w:val="top"/>
          </w:tcPr>
          <w:p>
            <w:pPr>
              <w:spacing w:after="40" w:line="240"/>
            </w:pPr>
            <w:r>
              <w:rPr>
                <w:rFonts w:ascii="Calibri" w:cs="Calibri" w:eastAsia="Calibri" w:hAnsi="Calibri"/>
                <w:b w:val="false"/>
                <w:bCs w:val="false"/>
                <w:color w:val="1B2433"/>
                <w:sz w:val="18"/>
                <w:szCs w:val="18"/>
              </w:rPr>
              <w:t xml:space="preserve">K&amp;L Gates review</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F"/>
        <w:sz w:val="16"/>
        <w:szCs w:val="16"/>
      </w:rPr>
      <w:t xml:space="preserve">Page </w:t>
    </w:r>
    <w:r>
      <w:rPr>
        <w:rFonts w:ascii="Calibri" w:cs="Calibri" w:eastAsia="Calibri" w:hAnsi="Calibri"/>
        <w:color w:val="5B6B7F"/>
        <w:sz w:val="16"/>
        <w:szCs w:val="16"/>
      </w:rPr>
      <w:fldChar w:fldCharType="begin"/>
      <w:instrText xml:space="preserve">PAGE</w:instrText>
      <w:fldChar w:fldCharType="separate"/>
      <w:fldChar w:fldCharType="end"/>
    </w:r>
    <w:r>
      <w:rPr>
        <w:rFonts w:ascii="Calibri" w:cs="Calibri" w:eastAsia="Calibri" w:hAnsi="Calibri"/>
        <w:color w:val="5B6B7F"/>
        <w:sz w:val="16"/>
        <w:szCs w:val="16"/>
      </w:rPr>
      <w:t xml:space="preserve"> of </w:t>
    </w:r>
    <w:r>
      <w:rPr>
        <w:rFonts w:ascii="Calibri" w:cs="Calibri" w:eastAsia="Calibri" w:hAnsi="Calibri"/>
        <w:color w:val="5B6B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F"/>
        <w:sz w:val="16"/>
        <w:szCs w:val="16"/>
      </w:rPr>
      <w:t xml:space="preserve">EnergyWave · Technical Prospectus · Draft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B2433"/>
      <w:sz w:val="34"/>
      <w:szCs w:val="34"/>
    </w:rPr>
  </w:style>
  <w:style w:type="paragraph" w:styleId="Heading2">
    <w:name w:val="Heading 2"/>
    <w:basedOn w:val="Normal"/>
    <w:next w:val="Normal"/>
    <w:qFormat/>
    <w:pPr>
      <w:spacing w:after="120" w:before="260"/>
      <w:outlineLvl w:val="1"/>
    </w:pPr>
    <w:rPr>
      <w:rFonts w:ascii="Cambria" w:cs="Cambria" w:eastAsia="Cambria" w:hAnsi="Cambria"/>
      <w:b/>
      <w:bCs/>
      <w:color w:val="1B2433"/>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EnergyWave — Technical Prospectus (draft v1.0)</dc:title>
  <dc:creator>EnergyWave</dc:creator>
  <cp:lastModifiedBy>Un-named</cp:lastModifiedBy>
  <cp:revision>1</cp:revision>
  <dcterms:created xsi:type="dcterms:W3CDTF">2026-09-07T18:02:26.737Z</dcterms:created>
  <dcterms:modified xsi:type="dcterms:W3CDTF">2026-09-07T18:02:26.737Z</dcterms:modified>
</cp:coreProperties>
</file>

<file path=docProps/custom.xml><?xml version="1.0" encoding="utf-8"?>
<Properties xmlns="http://schemas.openxmlformats.org/officeDocument/2006/custom-properties" xmlns:vt="http://schemas.openxmlformats.org/officeDocument/2006/docPropsVTypes"/>
</file>