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abstract"/>
    <w:p>
      <w:pPr>
        <w:pStyle w:val="Heading1"/>
      </w:pPr>
      <w:r>
        <w:t xml:space="preserve">Abstract</w:t>
      </w:r>
    </w:p>
    <w:bookmarkEnd w:id="20"/>
    <w:bookmarkStart w:id="21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Test citation</w:t>
      </w:r>
      <w:r>
        <w:t xml:space="preserve"> </w:t>
      </w:r>
      <w:r>
        <w:t xml:space="preserve">(1)</w:t>
      </w:r>
    </w:p>
    <w:bookmarkEnd w:id="21"/>
    <w:bookmarkStart w:id="22" w:name="methods"/>
    <w:p>
      <w:pPr>
        <w:pStyle w:val="Heading1"/>
      </w:pPr>
      <w:r>
        <w:t xml:space="preserve">Methods</w:t>
      </w:r>
    </w:p>
    <w:bookmarkEnd w:id="22"/>
    <w:bookmarkStart w:id="28" w:name="results"/>
    <w:p>
      <w:pPr>
        <w:pStyle w:val="Heading1"/>
      </w:pPr>
      <w:r>
        <w:t xml:space="preserve">Results</w:t>
      </w:r>
    </w:p>
    <w:bookmarkStart w:id="27" w:name="Xa7852579298aa6aec6315c0a2aa7049de59aaf0"/>
    <w:p>
      <w:pPr>
        <w:pStyle w:val="Heading2"/>
      </w:pPr>
      <w:r>
        <w:t xml:space="preserve">Estrogen receptor is a clinical continuous variable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6" w:name="fig-01"/>
          <w:p>
            <w:pPr>
              <w:pStyle w:val="Figure"/>
              <w:jc w:val="center"/>
            </w:pPr>
            <w:r>
              <w:drawing>
                <wp:inline>
                  <wp:extent cx="5334000" cy="4121727"/>
                  <wp:effectExtent b="0" l="0" r="0" t="0"/>
                  <wp:docPr descr="" title="" id="24" name="Picture"/>
                  <a:graphic>
                    <a:graphicData uri="http://schemas.openxmlformats.org/drawingml/2006/picture">
                      <pic:pic>
                        <pic:nvPicPr>
                          <pic:cNvPr descr="images/png/figure01.pn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1217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Scores and survival analysis results from TCGA, SCANB and METABRIC cohorts. (a) GSVA scores for the SET ER/PR signature for each cohort. Each point corresponds to a patient sample and they are divided by estrogen receptor status. (b) Forest plot of the survival analysis for each cohort separately. NPI: Nottingham prognostic index. Ti: i-th stage of tumor. Ni: i lymph nodes with breast cancer cells.</w:t>
            </w:r>
          </w:p>
          <w:bookmarkEnd w:id="26"/>
        </w:tc>
      </w:tr>
    </w:tbl>
    <w:bookmarkEnd w:id="27"/>
    <w:bookmarkEnd w:id="28"/>
    <w:bookmarkStart w:id="29" w:name="discussion"/>
    <w:p>
      <w:pPr>
        <w:pStyle w:val="Heading1"/>
      </w:pPr>
      <w:r>
        <w:t xml:space="preserve">Discussion</w:t>
      </w:r>
    </w:p>
    <w:bookmarkEnd w:id="29"/>
    <w:bookmarkStart w:id="33" w:name="references"/>
    <w:p>
      <w:pPr>
        <w:pStyle w:val="Heading1"/>
      </w:pPr>
      <w:r>
        <w:t xml:space="preserve">References</w:t>
      </w:r>
    </w:p>
    <w:bookmarkStart w:id="32" w:name="refs"/>
    <w:bookmarkStart w:id="31" w:name="ref-Kan2018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Kan Z, Ding Y, Kim J, Jung HH, Chung W, Lal S, et al. Multi-omics profiling of younger asian breast cancers reveals distinctive molecular signatures. Nature Communications [Internet]. Springer Science; Business Media</w:t>
      </w:r>
      <w:r>
        <w:t xml:space="preserve"> </w:t>
      </w:r>
      <w:r>
        <w:t xml:space="preserve">LLC</w:t>
      </w:r>
      <w:r>
        <w:t xml:space="preserve">; 2018;9. Available from:</w:t>
      </w:r>
      <w:r>
        <w:t xml:space="preserve"> </w:t>
      </w:r>
      <w:hyperlink r:id="rId30">
        <w:r>
          <w:rPr>
            <w:rStyle w:val="Hyperlink"/>
          </w:rPr>
          <w:t xml:space="preserve">https://doi.org/10.1038/s41467-018-04129-4</w:t>
        </w:r>
      </w:hyperlink>
    </w:p>
    <w:bookmarkEnd w:id="31"/>
    <w:bookmarkEnd w:id="32"/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hyperlink" Id="rId30" Target="https://doi.org/10.1038/s41467-018-04129-4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0" Target="https://doi.org/10.1038/s41467-018-04129-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2022-09-02T10:46:53Z</dcterms:created>
  <dcterms:modified xsi:type="dcterms:W3CDTF">2022-09-02T10:46:53Z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sl">
    <vt:lpwstr>csl/aacr.csl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pagetitle">
    <vt:lpwstr>main</vt:lpwstr>
  </property>
  <property fmtid="{D5CDD505-2E9C-101B-9397-08002B2CF9AE}" pid="10" name="toc-title">
    <vt:lpwstr>Table of contents</vt:lpwstr>
  </property>
</Properties>
</file>