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32"/>
        </w:rPr>
        <w:t>Revision Cover Letter</w:t>
      </w:r>
    </w:p>
    <w:p>
      <w:pPr>
        <w:spacing w:after="120"/>
      </w:pPr>
      <w:r>
        <w:rPr>
          <w:b w:val="0"/>
        </w:rPr>
        <w:t>Dear Editor,</w:t>
      </w:r>
    </w:p>
    <w:p>
      <w:pPr>
        <w:spacing w:after="120"/>
      </w:pPr>
      <w:r>
        <w:rPr>
          <w:b w:val="0"/>
        </w:rPr>
        <w:t>Please find enclosed the revised version of our manuscript, “Cumulative eHMI Information Designs and Vehicle Deceleration Interactively Affect Pedestrian Crossing Decisions: A Virtual Reality Study” (Manuscript ID: 261054896), submitted for reconsideration in Traffic Injury Prevention.</w:t>
      </w:r>
    </w:p>
    <w:p>
      <w:pPr>
        <w:spacing w:after="120"/>
      </w:pPr>
      <w:r>
        <w:rPr>
          <w:b w:val="0"/>
        </w:rPr>
        <w:t>We thank you and the reviewers for the careful and constructive comments. In response, we have substantially revised the manuscript. The principal changes are as follows:</w:t>
      </w:r>
    </w:p>
    <w:p>
      <w:pPr>
        <w:pStyle w:val="ListNumber"/>
        <w:spacing w:after="60"/>
      </w:pPr>
      <w:r>
        <w:t>We reframed the study as a comparison of an inactive display and three cumulative eHMI information designs, rather than as an isolated manipulation of psychological transparency.</w:t>
      </w:r>
    </w:p>
    <w:p>
      <w:pPr>
        <w:pStyle w:val="ListNumber"/>
        <w:spacing w:after="60"/>
      </w:pPr>
      <w:r>
        <w:t>We clarified the experimental procedure, programmed vehicle trajectories, display timing, traffic-spacing manipulation, eye-tracking procedure, and definitions of the behavioral outcomes.</w:t>
      </w:r>
    </w:p>
    <w:p>
      <w:pPr>
        <w:pStyle w:val="ListNumber"/>
        <w:spacing w:after="60"/>
      </w:pPr>
      <w:r>
        <w:t>We retained and described all trial outcomes and reanalyzed the behavioral, subjective, eye-movement, and pupil data using outcome-appropriate mixed-effects models that account for repeated observations.</w:t>
      </w:r>
    </w:p>
    <w:p>
      <w:pPr>
        <w:pStyle w:val="ListNumber"/>
        <w:spacing w:after="60"/>
      </w:pPr>
      <w:r>
        <w:t>We added response-scale estimates, confidence intervals, multiplicity control, corrected planned comparisons, model diagnostics, and sensitivity analyses where appropriate.</w:t>
      </w:r>
    </w:p>
    <w:p>
      <w:pPr>
        <w:pStyle w:val="ListNumber"/>
        <w:spacing w:after="60"/>
      </w:pPr>
      <w:r>
        <w:t>We revised the figures, supplementary tables, Discussion, and Conclusion, and removed unsupported mechanistic interpretations and overgeneralized design recommendations.</w:t>
      </w:r>
    </w:p>
    <w:p>
      <w:pPr>
        <w:spacing w:after="120"/>
      </w:pPr>
      <w:r>
        <w:t>A detailed point-by-point response accompanies this revised submission and is also placed at the beginning of the compiled revision package. In the marked manuscript, deleted text is shown with yellow highlighting and strikethrough, while added text is shown in red. Updated figures are incorporated in the revised manuscript, and the supplementary material is supplied separately.</w:t>
      </w:r>
    </w:p>
    <w:p>
      <w:pPr>
        <w:spacing w:after="120"/>
      </w:pPr>
      <w:r>
        <w:t>Thank you for considering our revised manuscript.</w:t>
      </w:r>
    </w:p>
    <w:p>
      <w:pPr>
        <w:spacing w:after="120"/>
      </w:pPr>
      <w:r>
        <w:t>Sincerely,</w:t>
      </w:r>
    </w:p>
    <w:p>
      <w:pPr>
        <w:spacing w:after="120"/>
      </w:pPr>
      <w:r>
        <w:t>Qi Guo</w:t>
        <w:br/>
        <w:t>Corresponding author</w:t>
        <w:br/>
        <w:t>Visual Cognition Laboratory, School of Art Design and Media, East China University of Science and Technology</w:t>
        <w:br/>
        <w:t>Email: guo20160820@163.com</w:t>
      </w:r>
    </w:p>
    <w:sectPr w:rsidR="00FC693F" w:rsidRPr="0006063C" w:rsidSect="00034616">
      <w:footerReference w:type="default" r:id="rId9"/>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