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9CA45" w14:textId="77777777" w:rsidR="002C4EB3" w:rsidRPr="002C4EB3" w:rsidRDefault="002C4EB3" w:rsidP="002C4EB3">
      <w:pPr>
        <w:rPr>
          <w:b/>
          <w:bCs/>
        </w:rPr>
      </w:pPr>
      <w:r w:rsidRPr="002C4EB3">
        <w:rPr>
          <w:b/>
          <w:bCs/>
        </w:rPr>
        <w:t>Plan maestro de capacitación estratégica y transformación de la cultura documental en instituciones educativas</w:t>
      </w:r>
    </w:p>
    <w:p w14:paraId="04917EFA" w14:textId="77777777" w:rsidR="002C4EB3" w:rsidRPr="002C4EB3" w:rsidRDefault="002C4EB3" w:rsidP="002C4EB3">
      <w:r w:rsidRPr="002C4EB3">
        <w:t>La gestión documental en el ámbito de las instituciones educativas colombianas ha trascendido su concepción tradicional de archivo de expedientes para convertirse en un eje transversal de la eficiencia administrativa y la transparencia institucional. Bajo el amparo de la Ley 594 de 2000, conocida como la Ley General de Archivos, se establece que tanto las entidades públicas como las privadas que cumplen funciones públicas tienen la obligación de organizar, conservar y garantizar el acceso a su documentación. Esta responsabilidad no es menor en el sector educativo, donde la información generada —desde registros académicos y actas de grado hasta expedientes de personal y procesos financieros— constituye el patrimonio documental de la nación y la memoria viva del proceso formativo. La transición hacia un entorno digital mediante la implementación de Software de Gestión Documental (SGD) o Sistemas de Gestión de Documentos Electrónicos de Archivo (SGDEA) representa un desafío técnico, pero fundamentalmente un reto de gestión del cambio y capacitación pedagógica para docentes y administrativos.</w:t>
      </w:r>
    </w:p>
    <w:p w14:paraId="5CC1025A" w14:textId="77777777" w:rsidR="002C4EB3" w:rsidRPr="002C4EB3" w:rsidRDefault="002C4EB3" w:rsidP="002C4EB3">
      <w:r w:rsidRPr="002C4EB3">
        <w:t>La implementación exitosa de estas herramientas tecnológicas no depende exclusivamente de la calidad del software seleccionado, sino de la capacidad de la organización para instaurar una cultura de la gestión documental. Este proceso exige una comprensión profunda del ciclo vital del documento, que abarca desde su producción o recepción hasta su disposición final, ya sea su eliminación o su conservación permanente en el archivo histórico. En este sentido, un plan de capacitación debe diseñarse bajo principios de andragogía, reconociendo que los adultos aprenden mejor cuando los contenidos son prácticos, están vinculados a sus tareas diarias y se presentan de forma horizontal y participativa. El presente informe detalla un plan de capacitación exhaustivo, paso a paso, que integra las ventajas competitivas de la digitalización y las estrategias necesarias para consolidar hábitos documentales sostenibles en el tiempo.</w:t>
      </w:r>
    </w:p>
    <w:p w14:paraId="7384261C" w14:textId="77777777" w:rsidR="002C4EB3" w:rsidRPr="002C4EB3" w:rsidRDefault="002C4EB3" w:rsidP="002C4EB3">
      <w:pPr>
        <w:rPr>
          <w:b/>
          <w:bCs/>
        </w:rPr>
      </w:pPr>
      <w:r w:rsidRPr="002C4EB3">
        <w:rPr>
          <w:b/>
          <w:bCs/>
        </w:rPr>
        <w:t>Ventajas estratégicas de la gestión documental digital en el sector educativo</w:t>
      </w:r>
    </w:p>
    <w:p w14:paraId="2FB70432" w14:textId="77777777" w:rsidR="002C4EB3" w:rsidRPr="002C4EB3" w:rsidRDefault="002C4EB3" w:rsidP="002C4EB3">
      <w:r w:rsidRPr="002C4EB3">
        <w:t>La adopción de un sistema de gestión documental electrónico ofrece beneficios que impactan la rentabilidad, la seguridad jurídica y la sostenibilidad ambiental de la institución educativa. No se trata simplemente de sustituir el papel por archivos digitales, sino de reestructurar los flujos de trabajo para eliminar redundancias y mejorar la experiencia de todos los actores de la comunidad educativa.</w:t>
      </w:r>
    </w:p>
    <w:p w14:paraId="1B28CE1B" w14:textId="77777777" w:rsidR="002C4EB3" w:rsidRPr="002C4EB3" w:rsidRDefault="002C4EB3" w:rsidP="002C4EB3">
      <w:pPr>
        <w:rPr>
          <w:b/>
          <w:bCs/>
        </w:rPr>
      </w:pPr>
      <w:r w:rsidRPr="002C4EB3">
        <w:rPr>
          <w:b/>
          <w:bCs/>
        </w:rPr>
        <w:t>Retorno de inversión y eficiencia en el gasto administrativo</w:t>
      </w:r>
    </w:p>
    <w:p w14:paraId="0777906B" w14:textId="77777777" w:rsidR="002C4EB3" w:rsidRPr="002C4EB3" w:rsidRDefault="002C4EB3" w:rsidP="002C4EB3">
      <w:r w:rsidRPr="002C4EB3">
        <w:lastRenderedPageBreak/>
        <w:t>El análisis financiero de la transición digital revela que la inversión inicial en tecnología se recupera con rapidez mediante el ahorro en insumos y espacio físico. Casos de éxito en universidades han demostrado un Retorno de Inversión (ROI) superior al 110% en el primer año de implementación. La eliminación de gastos en papel, tóner, mensajería física y el mantenimiento de bodegas de archivo permite a las instituciones reinvertir esos recursos en su misión pedagógica. Además, la automatización de flujos de trabajo, como el procesamiento de facturas o la gestión de matrículas, reduce el tiempo administrativo de semanas a días, optimizando el rendimiento del personal.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6"/>
        <w:gridCol w:w="2335"/>
        <w:gridCol w:w="2307"/>
        <w:gridCol w:w="2224"/>
      </w:tblGrid>
      <w:tr w:rsidR="002C4EB3" w:rsidRPr="002C4EB3" w14:paraId="3759C8A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EC0B9A" w14:textId="77777777" w:rsidR="002C4EB3" w:rsidRPr="002C4EB3" w:rsidRDefault="002C4EB3" w:rsidP="002C4EB3">
            <w:r w:rsidRPr="002C4EB3">
              <w:rPr>
                <w:b/>
                <w:bCs/>
              </w:rPr>
              <w:t>Categoría de Beneficio</w:t>
            </w:r>
          </w:p>
        </w:tc>
        <w:tc>
          <w:tcPr>
            <w:tcW w:w="0" w:type="auto"/>
            <w:tcBorders>
              <w:top w:val="single" w:sz="6" w:space="0" w:color="auto"/>
              <w:left w:val="single" w:sz="6" w:space="0" w:color="auto"/>
              <w:bottom w:val="single" w:sz="6" w:space="0" w:color="auto"/>
              <w:right w:val="single" w:sz="6" w:space="0" w:color="auto"/>
            </w:tcBorders>
            <w:vAlign w:val="center"/>
            <w:hideMark/>
          </w:tcPr>
          <w:p w14:paraId="4A85C54C" w14:textId="77777777" w:rsidR="002C4EB3" w:rsidRPr="002C4EB3" w:rsidRDefault="002C4EB3" w:rsidP="002C4EB3">
            <w:r w:rsidRPr="002C4EB3">
              <w:rPr>
                <w:b/>
                <w:bCs/>
              </w:rPr>
              <w:t>Impacto en el Modelo Tradicional (Papel)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8EED0DA" w14:textId="77777777" w:rsidR="002C4EB3" w:rsidRPr="002C4EB3" w:rsidRDefault="002C4EB3" w:rsidP="002C4EB3">
            <w:r w:rsidRPr="002C4EB3">
              <w:rPr>
                <w:b/>
                <w:bCs/>
              </w:rPr>
              <w:t>Impacto en el Modelo Digital (SGD)</w:t>
            </w:r>
          </w:p>
        </w:tc>
        <w:tc>
          <w:tcPr>
            <w:tcW w:w="0" w:type="auto"/>
            <w:tcBorders>
              <w:top w:val="single" w:sz="6" w:space="0" w:color="auto"/>
              <w:left w:val="single" w:sz="6" w:space="0" w:color="auto"/>
              <w:bottom w:val="single" w:sz="6" w:space="0" w:color="auto"/>
              <w:right w:val="single" w:sz="6" w:space="0" w:color="auto"/>
            </w:tcBorders>
            <w:vAlign w:val="center"/>
            <w:hideMark/>
          </w:tcPr>
          <w:p w14:paraId="4CCEDF4F" w14:textId="77777777" w:rsidR="002C4EB3" w:rsidRPr="002C4EB3" w:rsidRDefault="002C4EB3" w:rsidP="002C4EB3">
            <w:r w:rsidRPr="002C4EB3">
              <w:rPr>
                <w:b/>
                <w:bCs/>
              </w:rPr>
              <w:t>Resultado Esperado</w:t>
            </w:r>
          </w:p>
        </w:tc>
      </w:tr>
      <w:tr w:rsidR="002C4EB3" w:rsidRPr="002C4EB3" w14:paraId="4DB237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742257" w14:textId="77777777" w:rsidR="002C4EB3" w:rsidRPr="002C4EB3" w:rsidRDefault="002C4EB3" w:rsidP="002C4EB3">
            <w:r w:rsidRPr="002C4EB3">
              <w:t>Recuperación de información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24560B65" w14:textId="77777777" w:rsidR="002C4EB3" w:rsidRPr="002C4EB3" w:rsidRDefault="002C4EB3" w:rsidP="002C4EB3">
            <w:r w:rsidRPr="002C4EB3">
              <w:t>Búsqueda manual en carpetas (15-30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3FFE67B" w14:textId="77777777" w:rsidR="002C4EB3" w:rsidRPr="002C4EB3" w:rsidRDefault="002C4EB3" w:rsidP="002C4EB3">
            <w:r w:rsidRPr="002C4EB3">
              <w:t xml:space="preserve">Búsqueda instantánea por metadatos (&lt;10 </w:t>
            </w:r>
            <w:proofErr w:type="spellStart"/>
            <w:r w:rsidRPr="002C4EB3">
              <w:t>seg</w:t>
            </w:r>
            <w:proofErr w:type="spellEnd"/>
            <w:r w:rsidRPr="002C4EB3">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39A66B" w14:textId="77777777" w:rsidR="002C4EB3" w:rsidRPr="002C4EB3" w:rsidRDefault="002C4EB3" w:rsidP="002C4EB3">
            <w:r w:rsidRPr="002C4EB3">
              <w:t xml:space="preserve">Incremento masivo de productividad </w:t>
            </w:r>
          </w:p>
        </w:tc>
      </w:tr>
      <w:tr w:rsidR="002C4EB3" w:rsidRPr="002C4EB3" w14:paraId="2459F8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035C47" w14:textId="77777777" w:rsidR="002C4EB3" w:rsidRPr="002C4EB3" w:rsidRDefault="002C4EB3" w:rsidP="002C4EB3">
            <w:r w:rsidRPr="002C4EB3">
              <w:t>Costos de suministros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20F7FA0B" w14:textId="77777777" w:rsidR="002C4EB3" w:rsidRPr="002C4EB3" w:rsidRDefault="002C4EB3" w:rsidP="002C4EB3">
            <w:r w:rsidRPr="002C4EB3">
              <w:t>Gasto constante en papel, carpetas y tóner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4404133" w14:textId="77777777" w:rsidR="002C4EB3" w:rsidRPr="002C4EB3" w:rsidRDefault="002C4EB3" w:rsidP="002C4EB3">
            <w:r w:rsidRPr="002C4EB3">
              <w:t>Reducción drástica del uso de insumos físicos</w:t>
            </w:r>
          </w:p>
        </w:tc>
        <w:tc>
          <w:tcPr>
            <w:tcW w:w="0" w:type="auto"/>
            <w:tcBorders>
              <w:top w:val="single" w:sz="6" w:space="0" w:color="auto"/>
              <w:left w:val="single" w:sz="6" w:space="0" w:color="auto"/>
              <w:bottom w:val="single" w:sz="6" w:space="0" w:color="auto"/>
              <w:right w:val="single" w:sz="6" w:space="0" w:color="auto"/>
            </w:tcBorders>
            <w:vAlign w:val="center"/>
            <w:hideMark/>
          </w:tcPr>
          <w:p w14:paraId="10122D21" w14:textId="77777777" w:rsidR="002C4EB3" w:rsidRPr="002C4EB3" w:rsidRDefault="002C4EB3" w:rsidP="002C4EB3">
            <w:r w:rsidRPr="002C4EB3">
              <w:t xml:space="preserve">Ahorro financiero directo </w:t>
            </w:r>
          </w:p>
        </w:tc>
      </w:tr>
      <w:tr w:rsidR="002C4EB3" w:rsidRPr="002C4EB3" w14:paraId="05DFF9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9277C4" w14:textId="77777777" w:rsidR="002C4EB3" w:rsidRPr="002C4EB3" w:rsidRDefault="002C4EB3" w:rsidP="002C4EB3">
            <w:r w:rsidRPr="002C4EB3">
              <w:t>Espacio físico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5009747E" w14:textId="77777777" w:rsidR="002C4EB3" w:rsidRPr="002C4EB3" w:rsidRDefault="002C4EB3" w:rsidP="002C4EB3">
            <w:r w:rsidRPr="002C4EB3">
              <w:t>Acumulación de estanterías y cajas de archivo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15C6DAE5" w14:textId="77777777" w:rsidR="002C4EB3" w:rsidRPr="002C4EB3" w:rsidRDefault="002C4EB3" w:rsidP="002C4EB3">
            <w:r w:rsidRPr="002C4EB3">
              <w:t>Liberación de metros cuadrados en el campus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C843DC" w14:textId="77777777" w:rsidR="002C4EB3" w:rsidRPr="002C4EB3" w:rsidRDefault="002C4EB3" w:rsidP="002C4EB3">
            <w:r w:rsidRPr="002C4EB3">
              <w:t xml:space="preserve">Espacio disponible para uso académico </w:t>
            </w:r>
          </w:p>
        </w:tc>
      </w:tr>
      <w:tr w:rsidR="002C4EB3" w:rsidRPr="002C4EB3" w14:paraId="7CE66A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6184E4" w14:textId="77777777" w:rsidR="002C4EB3" w:rsidRPr="002C4EB3" w:rsidRDefault="002C4EB3" w:rsidP="002C4EB3">
            <w:r w:rsidRPr="002C4EB3">
              <w:t>Seguridad jurídica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443408A0" w14:textId="77777777" w:rsidR="002C4EB3" w:rsidRPr="002C4EB3" w:rsidRDefault="002C4EB3" w:rsidP="002C4EB3">
            <w:r w:rsidRPr="002C4EB3">
              <w:t>Riesgo de pérdida, alteración o deterioro físico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1B3BCE40" w14:textId="77777777" w:rsidR="002C4EB3" w:rsidRPr="002C4EB3" w:rsidRDefault="002C4EB3" w:rsidP="002C4EB3">
            <w:r w:rsidRPr="002C4EB3">
              <w:t>Cifrado de datos y pistas de auditoría inalterables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06424D8" w14:textId="77777777" w:rsidR="002C4EB3" w:rsidRPr="002C4EB3" w:rsidRDefault="002C4EB3" w:rsidP="002C4EB3">
            <w:r w:rsidRPr="002C4EB3">
              <w:t xml:space="preserve">Protección total de la información </w:t>
            </w:r>
          </w:p>
        </w:tc>
      </w:tr>
    </w:tbl>
    <w:p w14:paraId="2E8250E7" w14:textId="77777777" w:rsidR="002C4EB3" w:rsidRPr="002C4EB3" w:rsidRDefault="002C4EB3" w:rsidP="002C4EB3">
      <w:pPr>
        <w:rPr>
          <w:b/>
          <w:bCs/>
        </w:rPr>
      </w:pPr>
      <w:r w:rsidRPr="002C4EB3">
        <w:rPr>
          <w:b/>
          <w:bCs/>
        </w:rPr>
        <w:t>Seguridad de datos y cumplimiento de la ley de protección de datos</w:t>
      </w:r>
    </w:p>
    <w:p w14:paraId="58666A62" w14:textId="77777777" w:rsidR="002C4EB3" w:rsidRPr="002C4EB3" w:rsidRDefault="002C4EB3" w:rsidP="002C4EB3">
      <w:r w:rsidRPr="002C4EB3">
        <w:t xml:space="preserve">Las instituciones educativas manejan una gran cantidad de datos personales sensibles, incluidos los de niños, niñas y adolescentes, cuya protección es prioritaria según la Constitución Política de Colombia y la Ley 1581 de 2012. Un software de gestión documental permite implementar controles de acceso granulares, asegurando que solo el personal autorizado visualice expedientes específicos. Las funciones de autenticación de doble factor y el registro de cada acción realizada sobre un documento (lectura, modificación, descarga) proporcionan una trazabilidad </w:t>
      </w:r>
      <w:r w:rsidRPr="002C4EB3">
        <w:lastRenderedPageBreak/>
        <w:t>necesaria para cumplir con las auditorías de entes de control como la Superintendencia de Industria y Comercio.</w:t>
      </w:r>
    </w:p>
    <w:p w14:paraId="6C0C21D7" w14:textId="77777777" w:rsidR="002C4EB3" w:rsidRPr="002C4EB3" w:rsidRDefault="002C4EB3" w:rsidP="002C4EB3">
      <w:pPr>
        <w:rPr>
          <w:b/>
          <w:bCs/>
        </w:rPr>
      </w:pPr>
      <w:r w:rsidRPr="002C4EB3">
        <w:rPr>
          <w:b/>
          <w:bCs/>
        </w:rPr>
        <w:t>Sostenibilidad ambiental e identidad institucional</w:t>
      </w:r>
    </w:p>
    <w:p w14:paraId="287B390E" w14:textId="77777777" w:rsidR="002C4EB3" w:rsidRPr="002C4EB3" w:rsidRDefault="002C4EB3" w:rsidP="002C4EB3">
      <w:r w:rsidRPr="002C4EB3">
        <w:t>La estrategia de "Cero Papel" no es solo una medida de eficiencia, sino un mensaje de responsabilidad ambiental coherente con los valores educativos. Al reducir la huella de carbono asociada a la producción de residuos y el consumo energético de impresoras, la institución se posiciona como una organización moderna y consciente del entorno. Esta imagen positiva fortalece la confianza de los padres de familia y estudiantes, quienes perciben un centro educativo ágil, transparente y comprometido con la preservación del medio ambiente.</w:t>
      </w:r>
    </w:p>
    <w:p w14:paraId="1A48A2FB" w14:textId="77777777" w:rsidR="002C4EB3" w:rsidRPr="002C4EB3" w:rsidRDefault="002C4EB3" w:rsidP="002C4EB3">
      <w:pPr>
        <w:rPr>
          <w:b/>
          <w:bCs/>
        </w:rPr>
      </w:pPr>
      <w:r w:rsidRPr="002C4EB3">
        <w:rPr>
          <w:b/>
          <w:bCs/>
        </w:rPr>
        <w:t>Diagnóstico y preparación del ecosistema de capacitación</w:t>
      </w:r>
    </w:p>
    <w:p w14:paraId="6FA1494D" w14:textId="77777777" w:rsidR="002C4EB3" w:rsidRPr="002C4EB3" w:rsidRDefault="002C4EB3" w:rsidP="002C4EB3">
      <w:r w:rsidRPr="002C4EB3">
        <w:t>Cualquier plan de capacitación destinado a docentes y administrativos debe partir de un diagnóstico riguroso de la situación actual. La brecha digital es una realidad en muchos contextos educativos, y la falta de infraestructura o capacitación previa puede generar resistencia al cambio.</w:t>
      </w:r>
    </w:p>
    <w:p w14:paraId="1986122D" w14:textId="77777777" w:rsidR="002C4EB3" w:rsidRPr="002C4EB3" w:rsidRDefault="002C4EB3" w:rsidP="002C4EB3">
      <w:pPr>
        <w:rPr>
          <w:b/>
          <w:bCs/>
        </w:rPr>
      </w:pPr>
      <w:r w:rsidRPr="002C4EB3">
        <w:rPr>
          <w:b/>
          <w:bCs/>
        </w:rPr>
        <w:t>Identificación de perfiles y niveles de competencia digital</w:t>
      </w:r>
    </w:p>
    <w:p w14:paraId="4773FDEC" w14:textId="77777777" w:rsidR="002C4EB3" w:rsidRPr="002C4EB3" w:rsidRDefault="002C4EB3" w:rsidP="002C4EB3">
      <w:r w:rsidRPr="002C4EB3">
        <w:t>Es fundamental segmentar a los participantes para ofrecer una formación ajustada a sus necesidades reales. El personal administrativo de secretaría académica, por ejemplo, requiere un dominio técnico avanzado de las Tablas de Retención Documental (TRD) y el manejo de expedientes complejos. Por el contrario, los docentes suelen preferir herramientas que agilicen su labor diaria —como la subida de planificaciones o el control de asistencia— sin añadir una carga burocrática excesiva. El análisis debe considerar también la actitud hacia el cambio, identificando a los "líderes digitales" que puedan actuar como agentes multiplicadores del conocimiento.</w:t>
      </w:r>
    </w:p>
    <w:p w14:paraId="47E11BB4" w14:textId="77777777" w:rsidR="002C4EB3" w:rsidRPr="002C4EB3" w:rsidRDefault="002C4EB3" w:rsidP="002C4EB3">
      <w:pPr>
        <w:rPr>
          <w:b/>
          <w:bCs/>
        </w:rPr>
      </w:pPr>
      <w:r w:rsidRPr="002C4EB3">
        <w:rPr>
          <w:b/>
          <w:bCs/>
        </w:rPr>
        <w:t>Evaluación de la infraestructura tecnológica</w:t>
      </w:r>
    </w:p>
    <w:p w14:paraId="21F0A17C" w14:textId="77777777" w:rsidR="002C4EB3" w:rsidRPr="002C4EB3" w:rsidRDefault="002C4EB3" w:rsidP="002C4EB3">
      <w:r w:rsidRPr="002C4EB3">
        <w:t>La capacitación será infructuosa si el software no cuenta con el soporte técnico adecuado. Se debe verificar la estabilidad de la conexión a internet, la capacidad de los servidores (o de la nube) y la disponibilidad de herramientas periféricas como escáneres de alta velocidad o dispositivos móviles para el acceso remoto. La experiencia del usuario es determinante para la adopción; sistemas lentos o con interfaces confusas aumentan la frustración y el abandono de la herramienta.</w:t>
      </w:r>
    </w:p>
    <w:p w14:paraId="276FC467" w14:textId="77777777" w:rsidR="002C4EB3" w:rsidRPr="002C4EB3" w:rsidRDefault="002C4EB3" w:rsidP="002C4EB3">
      <w:pPr>
        <w:rPr>
          <w:b/>
          <w:bCs/>
        </w:rPr>
      </w:pPr>
      <w:r w:rsidRPr="002C4EB3">
        <w:rPr>
          <w:b/>
          <w:bCs/>
        </w:rPr>
        <w:t>El plan de capacitación paso a paso</w:t>
      </w:r>
    </w:p>
    <w:p w14:paraId="05CE594C" w14:textId="77777777" w:rsidR="002C4EB3" w:rsidRPr="002C4EB3" w:rsidRDefault="002C4EB3" w:rsidP="002C4EB3">
      <w:r w:rsidRPr="002C4EB3">
        <w:lastRenderedPageBreak/>
        <w:t>El plan de capacitación se estructura en cinco fases progresivas, diseñadas para transformar el conocimiento teórico en habilidades prácticas y hábitos culturales permanentes.</w:t>
      </w:r>
    </w:p>
    <w:p w14:paraId="58445CB9" w14:textId="77777777" w:rsidR="002C4EB3" w:rsidRPr="002C4EB3" w:rsidRDefault="002C4EB3" w:rsidP="002C4EB3">
      <w:pPr>
        <w:rPr>
          <w:b/>
          <w:bCs/>
        </w:rPr>
      </w:pPr>
      <w:r w:rsidRPr="002C4EB3">
        <w:rPr>
          <w:b/>
          <w:bCs/>
        </w:rPr>
        <w:t>Fase 1: Sensibilización y gestión estratégica del cambio</w:t>
      </w:r>
    </w:p>
    <w:p w14:paraId="51A6142D" w14:textId="77777777" w:rsidR="002C4EB3" w:rsidRPr="002C4EB3" w:rsidRDefault="002C4EB3" w:rsidP="002C4EB3">
      <w:r w:rsidRPr="002C4EB3">
        <w:t>El primer paso no es técnico, sino psicológico. La gestión del cambio en comunidades educativas requiere un liderazgo directivo fuerte que comunique con claridad los beneficios de la transformación digital.</w:t>
      </w:r>
    </w:p>
    <w:p w14:paraId="6B60DC8F" w14:textId="77777777" w:rsidR="002C4EB3" w:rsidRPr="002C4EB3" w:rsidRDefault="002C4EB3" w:rsidP="002C4EB3">
      <w:pPr>
        <w:numPr>
          <w:ilvl w:val="0"/>
          <w:numId w:val="1"/>
        </w:numPr>
      </w:pPr>
      <w:r w:rsidRPr="002C4EB3">
        <w:rPr>
          <w:b/>
          <w:bCs/>
        </w:rPr>
        <w:t>Talleres de visión compartida:</w:t>
      </w:r>
      <w:r w:rsidRPr="002C4EB3">
        <w:t xml:space="preserve"> Se deben realizar sesiones donde se expongan los problemas actuales del archivo físico y se contrasten con las soluciones digitales. Es vital que los docentes comprendan que el software no es una carga adicional, sino un aliado para liberar tiempo que podrán dedicar a la enseñanza.</w:t>
      </w:r>
    </w:p>
    <w:p w14:paraId="7DFA4E76" w14:textId="77777777" w:rsidR="002C4EB3" w:rsidRPr="002C4EB3" w:rsidRDefault="002C4EB3" w:rsidP="002C4EB3">
      <w:pPr>
        <w:numPr>
          <w:ilvl w:val="0"/>
          <w:numId w:val="1"/>
        </w:numPr>
      </w:pPr>
      <w:r w:rsidRPr="002C4EB3">
        <w:rPr>
          <w:b/>
          <w:bCs/>
        </w:rPr>
        <w:t>Designación del líder de estrategia:</w:t>
      </w:r>
      <w:r w:rsidRPr="002C4EB3">
        <w:t xml:space="preserve"> Se debe seleccionar a una persona o equipo responsable de coordinar la transición, idealmente alguien con habilidades tanto en tecnología como en gestión humana.</w:t>
      </w:r>
    </w:p>
    <w:p w14:paraId="06A0F018" w14:textId="77777777" w:rsidR="002C4EB3" w:rsidRPr="002C4EB3" w:rsidRDefault="002C4EB3" w:rsidP="002C4EB3">
      <w:pPr>
        <w:numPr>
          <w:ilvl w:val="0"/>
          <w:numId w:val="1"/>
        </w:numPr>
      </w:pPr>
      <w:r w:rsidRPr="002C4EB3">
        <w:rPr>
          <w:b/>
          <w:bCs/>
        </w:rPr>
        <w:t>Campañas de comunicación interna:</w:t>
      </w:r>
      <w:r w:rsidRPr="002C4EB3">
        <w:t xml:space="preserve"> Uso de medios digitales (correos, carteleras virtuales) para informar sobre los avances del proyecto y celebrar los pequeños éxitos iniciales, como la digitalización del primer departamento.</w:t>
      </w:r>
    </w:p>
    <w:p w14:paraId="6727797F" w14:textId="77777777" w:rsidR="002C4EB3" w:rsidRPr="002C4EB3" w:rsidRDefault="002C4EB3" w:rsidP="002C4EB3">
      <w:pPr>
        <w:rPr>
          <w:b/>
          <w:bCs/>
        </w:rPr>
      </w:pPr>
      <w:r w:rsidRPr="002C4EB3">
        <w:rPr>
          <w:b/>
          <w:bCs/>
        </w:rPr>
        <w:t>Fase 2: Fundamentación archivística y normativa</w:t>
      </w:r>
    </w:p>
    <w:p w14:paraId="706CE07D" w14:textId="77777777" w:rsidR="002C4EB3" w:rsidRPr="002C4EB3" w:rsidRDefault="002C4EB3" w:rsidP="002C4EB3">
      <w:r w:rsidRPr="002C4EB3">
        <w:t>No se puede gestionar documentos electrónicos sin comprender los principios básicos de la archivística. Esta fase asegura que todos los funcionarios hablen el mismo lenguaje técnico.</w:t>
      </w:r>
    </w:p>
    <w:p w14:paraId="1BED1612" w14:textId="77777777" w:rsidR="002C4EB3" w:rsidRPr="002C4EB3" w:rsidRDefault="002C4EB3" w:rsidP="002C4EB3">
      <w:pPr>
        <w:numPr>
          <w:ilvl w:val="0"/>
          <w:numId w:val="2"/>
        </w:numPr>
      </w:pPr>
      <w:r w:rsidRPr="002C4EB3">
        <w:rPr>
          <w:b/>
          <w:bCs/>
        </w:rPr>
        <w:t>Concepto de Archivo Total:</w:t>
      </w:r>
      <w:r w:rsidRPr="002C4EB3">
        <w:t xml:space="preserve"> Capacitación sobre el ciclo vital del documento, desde su origen en el archivo de gestión hasta su transferencia al archivo central o histórico.</w:t>
      </w:r>
    </w:p>
    <w:p w14:paraId="71747159" w14:textId="77777777" w:rsidR="002C4EB3" w:rsidRPr="002C4EB3" w:rsidRDefault="002C4EB3" w:rsidP="002C4EB3">
      <w:pPr>
        <w:numPr>
          <w:ilvl w:val="0"/>
          <w:numId w:val="2"/>
        </w:numPr>
      </w:pPr>
      <w:r w:rsidRPr="002C4EB3">
        <w:rPr>
          <w:b/>
          <w:bCs/>
        </w:rPr>
        <w:t>Instrumentos Archivísticos:</w:t>
      </w:r>
      <w:r w:rsidRPr="002C4EB3">
        <w:t xml:space="preserve"> Entrenamiento profundo en el uso de las Tablas de Retención Documental (TRD) y el Cuadro de Clasificación Documental (CCD). Los participantes aprenderán a identificar qué documentos deben conservarse, por cuánto tiempo y </w:t>
      </w:r>
      <w:proofErr w:type="gramStart"/>
      <w:r w:rsidRPr="002C4EB3">
        <w:t>bajo qué condiciones</w:t>
      </w:r>
      <w:proofErr w:type="gramEnd"/>
      <w:r w:rsidRPr="002C4EB3">
        <w:t xml:space="preserve"> de seguridad.</w:t>
      </w:r>
    </w:p>
    <w:p w14:paraId="1B2D681C" w14:textId="77777777" w:rsidR="002C4EB3" w:rsidRPr="002C4EB3" w:rsidRDefault="002C4EB3" w:rsidP="002C4EB3">
      <w:pPr>
        <w:numPr>
          <w:ilvl w:val="0"/>
          <w:numId w:val="2"/>
        </w:numPr>
      </w:pPr>
      <w:r w:rsidRPr="002C4EB3">
        <w:rPr>
          <w:b/>
          <w:bCs/>
        </w:rPr>
        <w:t>Marco Legal Colombiano:</w:t>
      </w:r>
      <w:r w:rsidRPr="002C4EB3">
        <w:t xml:space="preserve"> Revisión de la Ley 594 de 2000, la Ley 1712 de Transparencia y la Ley 1581 de Protección de Datos. Es crucial que el personal comprenda las implicaciones legales de una mala gestión de la información.</w:t>
      </w:r>
    </w:p>
    <w:p w14:paraId="37FFA88E" w14:textId="77777777" w:rsidR="002C4EB3" w:rsidRPr="002C4EB3" w:rsidRDefault="002C4EB3" w:rsidP="002C4EB3">
      <w:pPr>
        <w:rPr>
          <w:b/>
          <w:bCs/>
        </w:rPr>
      </w:pPr>
      <w:r w:rsidRPr="002C4EB3">
        <w:rPr>
          <w:b/>
          <w:bCs/>
        </w:rPr>
        <w:t>Fase 3: Formación técnica en el manejo del software</w:t>
      </w:r>
    </w:p>
    <w:p w14:paraId="65F213C5" w14:textId="77777777" w:rsidR="002C4EB3" w:rsidRPr="002C4EB3" w:rsidRDefault="002C4EB3" w:rsidP="002C4EB3">
      <w:r w:rsidRPr="002C4EB3">
        <w:lastRenderedPageBreak/>
        <w:t>Esta fase es de carácter eminentemente práctico y se desarrolla mediante simulaciones y ejercicios basados en tareas reales de la institución.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3078"/>
        <w:gridCol w:w="3876"/>
      </w:tblGrid>
      <w:tr w:rsidR="002C4EB3" w:rsidRPr="002C4EB3" w14:paraId="6A3FDA0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ED51A6" w14:textId="77777777" w:rsidR="002C4EB3" w:rsidRPr="002C4EB3" w:rsidRDefault="002C4EB3" w:rsidP="002C4EB3">
            <w:r w:rsidRPr="002C4EB3">
              <w:rPr>
                <w:b/>
                <w:bCs/>
              </w:rPr>
              <w:t>Módulo de Aprendizaje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62020E" w14:textId="77777777" w:rsidR="002C4EB3" w:rsidRPr="002C4EB3" w:rsidRDefault="002C4EB3" w:rsidP="002C4EB3">
            <w:proofErr w:type="gramStart"/>
            <w:r w:rsidRPr="002C4EB3">
              <w:rPr>
                <w:b/>
                <w:bCs/>
              </w:rPr>
              <w:t>Competencia a Desarrollar</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0BF5A822" w14:textId="77777777" w:rsidR="002C4EB3" w:rsidRPr="002C4EB3" w:rsidRDefault="002C4EB3" w:rsidP="002C4EB3">
            <w:r w:rsidRPr="002C4EB3">
              <w:rPr>
                <w:b/>
                <w:bCs/>
              </w:rPr>
              <w:t>Actividades Prácticas</w:t>
            </w:r>
          </w:p>
        </w:tc>
      </w:tr>
      <w:tr w:rsidR="002C4EB3" w:rsidRPr="002C4EB3" w14:paraId="77505E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9CD2F4" w14:textId="77777777" w:rsidR="002C4EB3" w:rsidRPr="002C4EB3" w:rsidRDefault="002C4EB3" w:rsidP="002C4EB3">
            <w:r w:rsidRPr="002C4EB3">
              <w:t>Captura y Registro</w:t>
            </w:r>
          </w:p>
        </w:tc>
        <w:tc>
          <w:tcPr>
            <w:tcW w:w="0" w:type="auto"/>
            <w:tcBorders>
              <w:top w:val="single" w:sz="6" w:space="0" w:color="auto"/>
              <w:left w:val="single" w:sz="6" w:space="0" w:color="auto"/>
              <w:bottom w:val="single" w:sz="6" w:space="0" w:color="auto"/>
              <w:right w:val="single" w:sz="6" w:space="0" w:color="auto"/>
            </w:tcBorders>
            <w:vAlign w:val="center"/>
            <w:hideMark/>
          </w:tcPr>
          <w:p w14:paraId="5155B740" w14:textId="77777777" w:rsidR="002C4EB3" w:rsidRPr="002C4EB3" w:rsidRDefault="002C4EB3" w:rsidP="002C4EB3">
            <w:r w:rsidRPr="002C4EB3">
              <w:t>Digitalización y radicación de documentos</w:t>
            </w:r>
          </w:p>
        </w:tc>
        <w:tc>
          <w:tcPr>
            <w:tcW w:w="0" w:type="auto"/>
            <w:tcBorders>
              <w:top w:val="single" w:sz="6" w:space="0" w:color="auto"/>
              <w:left w:val="single" w:sz="6" w:space="0" w:color="auto"/>
              <w:bottom w:val="single" w:sz="6" w:space="0" w:color="auto"/>
              <w:right w:val="single" w:sz="6" w:space="0" w:color="auto"/>
            </w:tcBorders>
            <w:vAlign w:val="center"/>
            <w:hideMark/>
          </w:tcPr>
          <w:p w14:paraId="6063FF92" w14:textId="77777777" w:rsidR="002C4EB3" w:rsidRPr="002C4EB3" w:rsidRDefault="002C4EB3" w:rsidP="002C4EB3">
            <w:r w:rsidRPr="002C4EB3">
              <w:t xml:space="preserve">Uso de escáneres, carga de PDF y asignación de metadatos básicos </w:t>
            </w:r>
          </w:p>
        </w:tc>
      </w:tr>
      <w:tr w:rsidR="002C4EB3" w:rsidRPr="002C4EB3" w14:paraId="4002C7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427181" w14:textId="77777777" w:rsidR="002C4EB3" w:rsidRPr="002C4EB3" w:rsidRDefault="002C4EB3" w:rsidP="002C4EB3">
            <w:r w:rsidRPr="002C4EB3">
              <w:t>Gestión de Expedientes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D0944D8" w14:textId="77777777" w:rsidR="002C4EB3" w:rsidRPr="002C4EB3" w:rsidRDefault="002C4EB3" w:rsidP="002C4EB3">
            <w:r w:rsidRPr="002C4EB3">
              <w:t>Organización de historias académicas y laborales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A2EA48" w14:textId="77777777" w:rsidR="002C4EB3" w:rsidRPr="002C4EB3" w:rsidRDefault="002C4EB3" w:rsidP="002C4EB3">
            <w:r w:rsidRPr="002C4EB3">
              <w:t xml:space="preserve">Creación de expedientes electrónicos y foliación digital </w:t>
            </w:r>
          </w:p>
        </w:tc>
      </w:tr>
      <w:tr w:rsidR="002C4EB3" w:rsidRPr="002C4EB3" w14:paraId="51EFFF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BA3EEE" w14:textId="77777777" w:rsidR="002C4EB3" w:rsidRPr="002C4EB3" w:rsidRDefault="002C4EB3" w:rsidP="002C4EB3">
            <w:r w:rsidRPr="002C4EB3">
              <w:t>Flujos de Trabajo</w:t>
            </w:r>
          </w:p>
        </w:tc>
        <w:tc>
          <w:tcPr>
            <w:tcW w:w="0" w:type="auto"/>
            <w:tcBorders>
              <w:top w:val="single" w:sz="6" w:space="0" w:color="auto"/>
              <w:left w:val="single" w:sz="6" w:space="0" w:color="auto"/>
              <w:bottom w:val="single" w:sz="6" w:space="0" w:color="auto"/>
              <w:right w:val="single" w:sz="6" w:space="0" w:color="auto"/>
            </w:tcBorders>
            <w:vAlign w:val="center"/>
            <w:hideMark/>
          </w:tcPr>
          <w:p w14:paraId="150CFB8B" w14:textId="77777777" w:rsidR="002C4EB3" w:rsidRPr="002C4EB3" w:rsidRDefault="002C4EB3" w:rsidP="002C4EB3">
            <w:r w:rsidRPr="002C4EB3">
              <w:t>Automatización de aprobaciones y trámites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E1AB720" w14:textId="77777777" w:rsidR="002C4EB3" w:rsidRPr="002C4EB3" w:rsidRDefault="002C4EB3" w:rsidP="002C4EB3">
            <w:r w:rsidRPr="002C4EB3">
              <w:t xml:space="preserve">Configuración de rutas de documentos para firmas de actas o permisos </w:t>
            </w:r>
          </w:p>
        </w:tc>
      </w:tr>
      <w:tr w:rsidR="002C4EB3" w:rsidRPr="002C4EB3" w14:paraId="51867B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37DF28" w14:textId="77777777" w:rsidR="002C4EB3" w:rsidRPr="002C4EB3" w:rsidRDefault="002C4EB3" w:rsidP="002C4EB3">
            <w:r w:rsidRPr="002C4EB3">
              <w:t>Firma Digital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D78F6DF" w14:textId="77777777" w:rsidR="002C4EB3" w:rsidRPr="002C4EB3" w:rsidRDefault="002C4EB3" w:rsidP="002C4EB3">
            <w:r w:rsidRPr="002C4EB3">
              <w:t>Uso legal de la firma electrónica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44A38DDF" w14:textId="77777777" w:rsidR="002C4EB3" w:rsidRPr="002C4EB3" w:rsidRDefault="002C4EB3" w:rsidP="002C4EB3">
            <w:r w:rsidRPr="002C4EB3">
              <w:t xml:space="preserve">Proceso de firma de certificados y contratos con validez jurídica </w:t>
            </w:r>
          </w:p>
        </w:tc>
      </w:tr>
      <w:tr w:rsidR="002C4EB3" w:rsidRPr="002C4EB3" w14:paraId="6EC4A3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2C8AA7" w14:textId="77777777" w:rsidR="002C4EB3" w:rsidRPr="002C4EB3" w:rsidRDefault="002C4EB3" w:rsidP="002C4EB3">
            <w:r w:rsidRPr="002C4EB3">
              <w:t>Búsqueda y Acceso</w:t>
            </w:r>
          </w:p>
        </w:tc>
        <w:tc>
          <w:tcPr>
            <w:tcW w:w="0" w:type="auto"/>
            <w:tcBorders>
              <w:top w:val="single" w:sz="6" w:space="0" w:color="auto"/>
              <w:left w:val="single" w:sz="6" w:space="0" w:color="auto"/>
              <w:bottom w:val="single" w:sz="6" w:space="0" w:color="auto"/>
              <w:right w:val="single" w:sz="6" w:space="0" w:color="auto"/>
            </w:tcBorders>
            <w:vAlign w:val="center"/>
            <w:hideMark/>
          </w:tcPr>
          <w:p w14:paraId="5AD00115" w14:textId="77777777" w:rsidR="002C4EB3" w:rsidRPr="002C4EB3" w:rsidRDefault="002C4EB3" w:rsidP="002C4EB3">
            <w:r w:rsidRPr="002C4EB3">
              <w:t>Recuperación eficiente de información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78C6695A" w14:textId="77777777" w:rsidR="002C4EB3" w:rsidRPr="002C4EB3" w:rsidRDefault="002C4EB3" w:rsidP="002C4EB3">
            <w:r w:rsidRPr="002C4EB3">
              <w:t xml:space="preserve">Uso de buscadores internos, filtros por curso, año o NIA </w:t>
            </w:r>
          </w:p>
        </w:tc>
      </w:tr>
    </w:tbl>
    <w:p w14:paraId="08AEE471" w14:textId="77777777" w:rsidR="002C4EB3" w:rsidRPr="002C4EB3" w:rsidRDefault="002C4EB3" w:rsidP="002C4EB3">
      <w:pPr>
        <w:rPr>
          <w:b/>
          <w:bCs/>
        </w:rPr>
      </w:pPr>
      <w:r w:rsidRPr="002C4EB3">
        <w:rPr>
          <w:b/>
          <w:bCs/>
        </w:rPr>
        <w:t xml:space="preserve">Fase 4: Implementación de la metodología de </w:t>
      </w:r>
      <w:proofErr w:type="spellStart"/>
      <w:r w:rsidRPr="002C4EB3">
        <w:rPr>
          <w:b/>
          <w:bCs/>
        </w:rPr>
        <w:t>micro-capacitación</w:t>
      </w:r>
      <w:proofErr w:type="spellEnd"/>
    </w:p>
    <w:p w14:paraId="387E6CA3" w14:textId="77777777" w:rsidR="002C4EB3" w:rsidRPr="002C4EB3" w:rsidRDefault="002C4EB3" w:rsidP="002C4EB3">
      <w:r w:rsidRPr="002C4EB3">
        <w:t xml:space="preserve">Para minimizar el impacto en la jornada laboral de los docentes, se propone una metodología de capacitación de 30 minutos basada en </w:t>
      </w:r>
      <w:proofErr w:type="spellStart"/>
      <w:r w:rsidRPr="002C4EB3">
        <w:t>micro-tareas</w:t>
      </w:r>
      <w:proofErr w:type="spellEnd"/>
      <w:r w:rsidRPr="002C4EB3">
        <w:t>.</w:t>
      </w:r>
    </w:p>
    <w:p w14:paraId="651A7BC9" w14:textId="77777777" w:rsidR="002C4EB3" w:rsidRPr="002C4EB3" w:rsidRDefault="002C4EB3" w:rsidP="002C4EB3">
      <w:pPr>
        <w:numPr>
          <w:ilvl w:val="0"/>
          <w:numId w:val="3"/>
        </w:numPr>
      </w:pPr>
      <w:r w:rsidRPr="002C4EB3">
        <w:rPr>
          <w:b/>
          <w:bCs/>
        </w:rPr>
        <w:t>Sesiones focalizadas:</w:t>
      </w:r>
      <w:r w:rsidRPr="002C4EB3">
        <w:t xml:space="preserve"> En lugar de largas jornadas, se realizan intervenciones breves centradas en una sola función (ej. "Cómo subir el informe final de notas"). Esto respeta la carga cognitiva del personal y permite una aplicación inmediata.</w:t>
      </w:r>
    </w:p>
    <w:p w14:paraId="440BAE4D" w14:textId="77777777" w:rsidR="002C4EB3" w:rsidRPr="002C4EB3" w:rsidRDefault="002C4EB3" w:rsidP="002C4EB3">
      <w:pPr>
        <w:numPr>
          <w:ilvl w:val="0"/>
          <w:numId w:val="3"/>
        </w:numPr>
      </w:pPr>
      <w:r w:rsidRPr="002C4EB3">
        <w:rPr>
          <w:b/>
          <w:bCs/>
        </w:rPr>
        <w:t>Entrenamiento en el puesto de trabajo:</w:t>
      </w:r>
      <w:r w:rsidRPr="002C4EB3">
        <w:t xml:space="preserve"> Los capacitadores asisten directamente a las oficinas o salas de profesores para resolver dudas técnicas en el entorno real de trabajo.</w:t>
      </w:r>
    </w:p>
    <w:p w14:paraId="0F2AA97A" w14:textId="77777777" w:rsidR="002C4EB3" w:rsidRPr="002C4EB3" w:rsidRDefault="002C4EB3" w:rsidP="002C4EB3">
      <w:pPr>
        <w:numPr>
          <w:ilvl w:val="0"/>
          <w:numId w:val="3"/>
        </w:numPr>
      </w:pPr>
      <w:r w:rsidRPr="002C4EB3">
        <w:rPr>
          <w:b/>
          <w:bCs/>
        </w:rPr>
        <w:t>Cápsulas de aprendizaje:</w:t>
      </w:r>
      <w:r w:rsidRPr="002C4EB3">
        <w:t xml:space="preserve"> Creación de videos tutoriales cortos y guías rápidas de "un solo paso" disponibles en la plataforma institucional.</w:t>
      </w:r>
    </w:p>
    <w:p w14:paraId="72B45734" w14:textId="77777777" w:rsidR="002C4EB3" w:rsidRPr="002C4EB3" w:rsidRDefault="002C4EB3" w:rsidP="002C4EB3">
      <w:pPr>
        <w:rPr>
          <w:b/>
          <w:bCs/>
        </w:rPr>
      </w:pPr>
      <w:r w:rsidRPr="002C4EB3">
        <w:rPr>
          <w:b/>
          <w:bCs/>
        </w:rPr>
        <w:t>Fase 5: Evaluación, seguimiento y certificación</w:t>
      </w:r>
    </w:p>
    <w:p w14:paraId="0B825457" w14:textId="77777777" w:rsidR="002C4EB3" w:rsidRPr="002C4EB3" w:rsidRDefault="002C4EB3" w:rsidP="002C4EB3">
      <w:r w:rsidRPr="002C4EB3">
        <w:t>La última fase del plan busca medir la efectividad del aprendizaje y asegurar la mejora continua del sistema.</w:t>
      </w:r>
    </w:p>
    <w:p w14:paraId="21EA3731" w14:textId="77777777" w:rsidR="002C4EB3" w:rsidRPr="002C4EB3" w:rsidRDefault="002C4EB3" w:rsidP="002C4EB3">
      <w:pPr>
        <w:numPr>
          <w:ilvl w:val="0"/>
          <w:numId w:val="4"/>
        </w:numPr>
      </w:pPr>
      <w:r w:rsidRPr="002C4EB3">
        <w:rPr>
          <w:b/>
          <w:bCs/>
        </w:rPr>
        <w:lastRenderedPageBreak/>
        <w:t>Evaluación de desempeño:</w:t>
      </w:r>
      <w:r w:rsidRPr="002C4EB3">
        <w:t xml:space="preserve"> Pruebas prácticas donde el usuario debe realizar un proceso completo en el software sin ayuda. Se deben medir tiempos de respuesta y precisión en la clasificación.</w:t>
      </w:r>
    </w:p>
    <w:p w14:paraId="3154255F" w14:textId="77777777" w:rsidR="002C4EB3" w:rsidRPr="002C4EB3" w:rsidRDefault="002C4EB3" w:rsidP="002C4EB3">
      <w:pPr>
        <w:numPr>
          <w:ilvl w:val="0"/>
          <w:numId w:val="4"/>
        </w:numPr>
      </w:pPr>
      <w:r w:rsidRPr="002C4EB3">
        <w:rPr>
          <w:b/>
          <w:bCs/>
        </w:rPr>
        <w:t>Encuestas de satisfacción y usabilidad:</w:t>
      </w:r>
      <w:r w:rsidRPr="002C4EB3">
        <w:t xml:space="preserve"> Recolección de </w:t>
      </w:r>
      <w:proofErr w:type="spellStart"/>
      <w:r w:rsidRPr="002C4EB3">
        <w:t>feedback</w:t>
      </w:r>
      <w:proofErr w:type="spellEnd"/>
      <w:r w:rsidRPr="002C4EB3">
        <w:t xml:space="preserve"> sobre la experiencia con la herramienta para identificar cuellos de botella técnicos o necesidades de refuerzo pedagógico.</w:t>
      </w:r>
    </w:p>
    <w:p w14:paraId="042A8DCC" w14:textId="77777777" w:rsidR="002C4EB3" w:rsidRPr="002C4EB3" w:rsidRDefault="002C4EB3" w:rsidP="002C4EB3">
      <w:pPr>
        <w:numPr>
          <w:ilvl w:val="0"/>
          <w:numId w:val="4"/>
        </w:numPr>
      </w:pPr>
      <w:r w:rsidRPr="002C4EB3">
        <w:rPr>
          <w:b/>
          <w:bCs/>
        </w:rPr>
        <w:t>Certificación de competencias digitales:</w:t>
      </w:r>
      <w:r w:rsidRPr="002C4EB3">
        <w:t xml:space="preserve"> Entrega de reconocimientos o certificados a los funcionarios que demuestren dominio del sistema, integrando este logro en su historial de desarrollo profesional.</w:t>
      </w:r>
    </w:p>
    <w:p w14:paraId="6F8E8E3E" w14:textId="77777777" w:rsidR="002C4EB3" w:rsidRPr="002C4EB3" w:rsidRDefault="002C4EB3" w:rsidP="002C4EB3">
      <w:pPr>
        <w:rPr>
          <w:b/>
          <w:bCs/>
        </w:rPr>
      </w:pPr>
      <w:r w:rsidRPr="002C4EB3">
        <w:rPr>
          <w:b/>
          <w:bCs/>
        </w:rPr>
        <w:t>Creación de una cultura de gestión documental permanente</w:t>
      </w:r>
    </w:p>
    <w:p w14:paraId="4AF3D722" w14:textId="77777777" w:rsidR="002C4EB3" w:rsidRPr="002C4EB3" w:rsidRDefault="002C4EB3" w:rsidP="002C4EB3">
      <w:r w:rsidRPr="002C4EB3">
        <w:t>La tecnología por sí sola no garantiza el orden. La cultura documental es el conjunto de hábitos y normas no escritas que hacen que la gestión de la información sea una prioridad diaria para todos los miembros de la empresa educativa.</w:t>
      </w:r>
    </w:p>
    <w:p w14:paraId="079121E0" w14:textId="77777777" w:rsidR="002C4EB3" w:rsidRPr="002C4EB3" w:rsidRDefault="002C4EB3" w:rsidP="002C4EB3">
      <w:pPr>
        <w:rPr>
          <w:b/>
          <w:bCs/>
        </w:rPr>
      </w:pPr>
      <w:r w:rsidRPr="002C4EB3">
        <w:rPr>
          <w:b/>
          <w:bCs/>
        </w:rPr>
        <w:t>El rol del liderazgo y el modelado de conductas</w:t>
      </w:r>
    </w:p>
    <w:p w14:paraId="65CD3EC7" w14:textId="77777777" w:rsidR="002C4EB3" w:rsidRPr="002C4EB3" w:rsidRDefault="002C4EB3" w:rsidP="002C4EB3">
      <w:r w:rsidRPr="002C4EB3">
        <w:t>El éxito de la cultura documental depende de que los directivos sean los principales usuarios del sistema. Si un rector sigue exigiendo reportes en papel, el mensaje que recibe el personal es que lo digital es opcional. El liderazgo debe promover una política de "mesas limpias" y fomentar la toma de decisiones basada exclusivamente en la información registrada en el software.</w:t>
      </w:r>
    </w:p>
    <w:p w14:paraId="0DEE3F2C" w14:textId="77777777" w:rsidR="002C4EB3" w:rsidRPr="002C4EB3" w:rsidRDefault="002C4EB3" w:rsidP="002C4EB3">
      <w:pPr>
        <w:rPr>
          <w:b/>
          <w:bCs/>
        </w:rPr>
      </w:pPr>
      <w:r w:rsidRPr="002C4EB3">
        <w:rPr>
          <w:b/>
          <w:bCs/>
        </w:rPr>
        <w:t>Estrategias de gamificación para la adopción digital</w:t>
      </w:r>
    </w:p>
    <w:p w14:paraId="07FA3D86" w14:textId="77777777" w:rsidR="002C4EB3" w:rsidRPr="002C4EB3" w:rsidRDefault="002C4EB3" w:rsidP="002C4EB3">
      <w:r w:rsidRPr="002C4EB3">
        <w:t>La gamificación es una herramienta poderosa para motivar al personal y reducir la resistencia tecnológica. Al introducir elementos de juego en tareas administrativas, se fomenta un ambiente de aprendizaje dinámico y colaborativo.</w:t>
      </w:r>
    </w:p>
    <w:p w14:paraId="2616FC8C" w14:textId="77777777" w:rsidR="002C4EB3" w:rsidRPr="002C4EB3" w:rsidRDefault="002C4EB3" w:rsidP="002C4EB3">
      <w:pPr>
        <w:numPr>
          <w:ilvl w:val="0"/>
          <w:numId w:val="5"/>
        </w:numPr>
      </w:pPr>
      <w:r w:rsidRPr="002C4EB3">
        <w:rPr>
          <w:b/>
          <w:bCs/>
        </w:rPr>
        <w:t>Avatares y niveles de experiencia:</w:t>
      </w:r>
      <w:r w:rsidRPr="002C4EB3">
        <w:t xml:space="preserve"> Cada usuario puede tener un perfil digital que evoluciona a medida que completa tareas en el software. Un docente puede pasar de nivel "Novato Digital" a "Maestro de Archivo" al indexar correctamente sus expedientes de curso.</w:t>
      </w:r>
    </w:p>
    <w:p w14:paraId="5AE3498B" w14:textId="77777777" w:rsidR="002C4EB3" w:rsidRPr="002C4EB3" w:rsidRDefault="002C4EB3" w:rsidP="002C4EB3">
      <w:pPr>
        <w:numPr>
          <w:ilvl w:val="0"/>
          <w:numId w:val="5"/>
        </w:numPr>
      </w:pPr>
      <w:r w:rsidRPr="002C4EB3">
        <w:rPr>
          <w:b/>
          <w:bCs/>
        </w:rPr>
        <w:t>Insignias y medallas de mérito:</w:t>
      </w:r>
      <w:r w:rsidRPr="002C4EB3">
        <w:t xml:space="preserve"> Se otorgan reconocimientos visuales por logros específicos, como "Campeón Cero Papel" al reducir el consumo de impresiones en un 50%, o "Guardián de Datos" por completar el curso de protección de datos personales.</w:t>
      </w:r>
    </w:p>
    <w:p w14:paraId="5C894CA9" w14:textId="77777777" w:rsidR="002C4EB3" w:rsidRPr="002C4EB3" w:rsidRDefault="002C4EB3" w:rsidP="002C4EB3">
      <w:pPr>
        <w:numPr>
          <w:ilvl w:val="0"/>
          <w:numId w:val="5"/>
        </w:numPr>
      </w:pPr>
      <w:r w:rsidRPr="002C4EB3">
        <w:rPr>
          <w:b/>
          <w:bCs/>
        </w:rPr>
        <w:t>Tablas de clasificación departamental:</w:t>
      </w:r>
      <w:r w:rsidRPr="002C4EB3">
        <w:t xml:space="preserve"> Competencias amistosas entre áreas (ej. Matemáticas vs. Humanidades) para ver quién gestiona sus </w:t>
      </w:r>
      <w:r w:rsidRPr="002C4EB3">
        <w:lastRenderedPageBreak/>
        <w:t>procesos de forma más ágil y con menos errores de clasificación. Los premios pueden ser incentivos no monetarios, como días libres o reconocimientos públicos.</w:t>
      </w:r>
    </w:p>
    <w:p w14:paraId="1A4ED034" w14:textId="77777777" w:rsidR="002C4EB3" w:rsidRPr="002C4EB3" w:rsidRDefault="002C4EB3" w:rsidP="002C4EB3">
      <w:pPr>
        <w:rPr>
          <w:b/>
          <w:bCs/>
        </w:rPr>
      </w:pPr>
      <w:r w:rsidRPr="002C4EB3">
        <w:rPr>
          <w:b/>
          <w:bCs/>
        </w:rPr>
        <w:t>Comunicación y retroalimentación constante</w:t>
      </w:r>
    </w:p>
    <w:p w14:paraId="5C962871" w14:textId="77777777" w:rsidR="002C4EB3" w:rsidRPr="002C4EB3" w:rsidRDefault="002C4EB3" w:rsidP="002C4EB3">
      <w:r w:rsidRPr="002C4EB3">
        <w:t>La cultura se construye a través del diálogo. Se deben establecer canales formales para que los usuarios reporten fallas o sugieran mejoras al sistema. Un "Comité de Archivo" interdisciplinario debe reunirse periódicamente para revisar las estadísticas de uso y ajustar los procedimientos según las necesidades cambiantes de la institución.</w:t>
      </w:r>
    </w:p>
    <w:p w14:paraId="079A50D2" w14:textId="77777777" w:rsidR="002C4EB3" w:rsidRPr="002C4EB3" w:rsidRDefault="002C4EB3" w:rsidP="002C4EB3">
      <w:pPr>
        <w:rPr>
          <w:b/>
          <w:bCs/>
        </w:rPr>
      </w:pPr>
      <w:r w:rsidRPr="002C4EB3">
        <w:rPr>
          <w:b/>
          <w:bCs/>
        </w:rPr>
        <w:t>Gestión técnica y operativa del software: Buenas prácticas</w:t>
      </w:r>
    </w:p>
    <w:p w14:paraId="461B2CA1" w14:textId="77777777" w:rsidR="002C4EB3" w:rsidRPr="002C4EB3" w:rsidRDefault="002C4EB3" w:rsidP="002C4EB3">
      <w:r w:rsidRPr="002C4EB3">
        <w:t>Para que el plan de capacitación sea sostenible, el software debe operarse bajo estándares técnicos de alta calidad que garanticen la integridad y disponibilidad de la información a largo plazo.</w:t>
      </w:r>
    </w:p>
    <w:p w14:paraId="1B8BFA00" w14:textId="77777777" w:rsidR="002C4EB3" w:rsidRPr="002C4EB3" w:rsidRDefault="002C4EB3" w:rsidP="002C4EB3">
      <w:pPr>
        <w:rPr>
          <w:b/>
          <w:bCs/>
        </w:rPr>
      </w:pPr>
      <w:r w:rsidRPr="002C4EB3">
        <w:rPr>
          <w:b/>
          <w:bCs/>
        </w:rPr>
        <w:t>Procedimientos de radicación y distribución electrónica</w:t>
      </w:r>
    </w:p>
    <w:p w14:paraId="64029FD9" w14:textId="77777777" w:rsidR="002C4EB3" w:rsidRPr="002C4EB3" w:rsidRDefault="002C4EB3" w:rsidP="002C4EB3">
      <w:r w:rsidRPr="002C4EB3">
        <w:t>La implementación de una Ventanilla Única de Registro Electrónico es un paso crítico para centralizar la entrada y salida de comunicaciones. Esto evita que los documentos se pierdan en correos electrónicos personales o carpetas físicas dispersas. El personal administrativo debe estar capacitado para validar la integridad de los documentos recibidos y asignarlos inmediatamente al flujo de trabajo correspondiente.</w:t>
      </w:r>
    </w:p>
    <w:p w14:paraId="53BB3D78" w14:textId="77777777" w:rsidR="002C4EB3" w:rsidRPr="002C4EB3" w:rsidRDefault="002C4EB3" w:rsidP="002C4EB3">
      <w:pPr>
        <w:rPr>
          <w:b/>
          <w:bCs/>
        </w:rPr>
      </w:pPr>
      <w:r w:rsidRPr="002C4EB3">
        <w:rPr>
          <w:b/>
          <w:bCs/>
        </w:rPr>
        <w:t>Preservación digital a largo plazo y copias de seguridad</w:t>
      </w:r>
    </w:p>
    <w:p w14:paraId="5132052D" w14:textId="77777777" w:rsidR="002C4EB3" w:rsidRPr="002C4EB3" w:rsidRDefault="002C4EB3" w:rsidP="002C4EB3">
      <w:r w:rsidRPr="002C4EB3">
        <w:t>La obsolescencia tecnológica es un riesgo latente. La capacitación debe incluir protocolos sobre los formatos de archivo recomendados (como PDF/A) que garantizan que los documentos sean legibles en el futuro. Además, se deben establecer rutinas de respaldo automatizado y planes de recuperación ante desastres para proteger la memoria institucional contra ataques cibernéticos o fallos de hardware.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0"/>
        <w:gridCol w:w="3076"/>
        <w:gridCol w:w="3626"/>
      </w:tblGrid>
      <w:tr w:rsidR="002C4EB3" w:rsidRPr="002C4EB3" w14:paraId="496F678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FD6E5C" w14:textId="77777777" w:rsidR="002C4EB3" w:rsidRPr="002C4EB3" w:rsidRDefault="002C4EB3" w:rsidP="002C4EB3">
            <w:r w:rsidRPr="002C4EB3">
              <w:rPr>
                <w:b/>
                <w:bCs/>
              </w:rPr>
              <w:t>Práctica de Gestión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437F7F30" w14:textId="77777777" w:rsidR="002C4EB3" w:rsidRPr="002C4EB3" w:rsidRDefault="002C4EB3" w:rsidP="002C4EB3">
            <w:r w:rsidRPr="002C4EB3">
              <w:rPr>
                <w:b/>
                <w:bCs/>
              </w:rPr>
              <w:t>Descripción Técnica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0D3F1E05" w14:textId="77777777" w:rsidR="002C4EB3" w:rsidRPr="002C4EB3" w:rsidRDefault="002C4EB3" w:rsidP="002C4EB3">
            <w:r w:rsidRPr="002C4EB3">
              <w:rPr>
                <w:b/>
                <w:bCs/>
              </w:rPr>
              <w:t>Objetivo de Cultura</w:t>
            </w:r>
          </w:p>
        </w:tc>
      </w:tr>
      <w:tr w:rsidR="002C4EB3" w:rsidRPr="002C4EB3" w14:paraId="23693A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E38B58" w14:textId="77777777" w:rsidR="002C4EB3" w:rsidRPr="002C4EB3" w:rsidRDefault="002C4EB3" w:rsidP="002C4EB3">
            <w:r w:rsidRPr="002C4EB3">
              <w:t>Clasificación Estandarizada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21659EFD" w14:textId="77777777" w:rsidR="002C4EB3" w:rsidRPr="002C4EB3" w:rsidRDefault="002C4EB3" w:rsidP="002C4EB3">
            <w:r w:rsidRPr="002C4EB3">
              <w:t>Uso de metadatos uniformes en toda la institución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52911897" w14:textId="77777777" w:rsidR="002C4EB3" w:rsidRPr="002C4EB3" w:rsidRDefault="002C4EB3" w:rsidP="002C4EB3">
            <w:r w:rsidRPr="002C4EB3">
              <w:t xml:space="preserve">Facilitar la búsqueda colaborativa y evitar silos de información </w:t>
            </w:r>
          </w:p>
        </w:tc>
      </w:tr>
      <w:tr w:rsidR="002C4EB3" w:rsidRPr="002C4EB3" w14:paraId="456EC2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E45BAA" w14:textId="77777777" w:rsidR="002C4EB3" w:rsidRPr="002C4EB3" w:rsidRDefault="002C4EB3" w:rsidP="002C4EB3">
            <w:r w:rsidRPr="002C4EB3">
              <w:lastRenderedPageBreak/>
              <w:t>Control de Acceso RBAC</w:t>
            </w:r>
          </w:p>
        </w:tc>
        <w:tc>
          <w:tcPr>
            <w:tcW w:w="0" w:type="auto"/>
            <w:tcBorders>
              <w:top w:val="single" w:sz="6" w:space="0" w:color="auto"/>
              <w:left w:val="single" w:sz="6" w:space="0" w:color="auto"/>
              <w:bottom w:val="single" w:sz="6" w:space="0" w:color="auto"/>
              <w:right w:val="single" w:sz="6" w:space="0" w:color="auto"/>
            </w:tcBorders>
            <w:vAlign w:val="center"/>
            <w:hideMark/>
          </w:tcPr>
          <w:p w14:paraId="519D4DEA" w14:textId="77777777" w:rsidR="002C4EB3" w:rsidRPr="002C4EB3" w:rsidRDefault="002C4EB3" w:rsidP="002C4EB3">
            <w:r w:rsidRPr="002C4EB3">
              <w:t>Permisos basados en el rol del cargo</w:t>
            </w:r>
          </w:p>
        </w:tc>
        <w:tc>
          <w:tcPr>
            <w:tcW w:w="0" w:type="auto"/>
            <w:tcBorders>
              <w:top w:val="single" w:sz="6" w:space="0" w:color="auto"/>
              <w:left w:val="single" w:sz="6" w:space="0" w:color="auto"/>
              <w:bottom w:val="single" w:sz="6" w:space="0" w:color="auto"/>
              <w:right w:val="single" w:sz="6" w:space="0" w:color="auto"/>
            </w:tcBorders>
            <w:vAlign w:val="center"/>
            <w:hideMark/>
          </w:tcPr>
          <w:p w14:paraId="1AC2FCF3" w14:textId="77777777" w:rsidR="002C4EB3" w:rsidRPr="002C4EB3" w:rsidRDefault="002C4EB3" w:rsidP="002C4EB3">
            <w:r w:rsidRPr="002C4EB3">
              <w:t xml:space="preserve">Garantizar la confidencialidad y el respeto al Habeas Data </w:t>
            </w:r>
          </w:p>
        </w:tc>
      </w:tr>
      <w:tr w:rsidR="002C4EB3" w:rsidRPr="002C4EB3" w14:paraId="776BCE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1C38A0" w14:textId="77777777" w:rsidR="002C4EB3" w:rsidRPr="002C4EB3" w:rsidRDefault="002C4EB3" w:rsidP="002C4EB3">
            <w:r w:rsidRPr="002C4EB3">
              <w:t>Foliación Electrónica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66B52AC3" w14:textId="77777777" w:rsidR="002C4EB3" w:rsidRPr="002C4EB3" w:rsidRDefault="002C4EB3" w:rsidP="002C4EB3">
            <w:r w:rsidRPr="002C4EB3">
              <w:t>Asociación vinculante de documentos en un índice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367679" w14:textId="77777777" w:rsidR="002C4EB3" w:rsidRPr="002C4EB3" w:rsidRDefault="002C4EB3" w:rsidP="002C4EB3">
            <w:r w:rsidRPr="002C4EB3">
              <w:t xml:space="preserve">Mantener la integridad del expediente y el orden original </w:t>
            </w:r>
          </w:p>
        </w:tc>
      </w:tr>
      <w:tr w:rsidR="002C4EB3" w:rsidRPr="002C4EB3" w14:paraId="6146E0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E00C2D" w14:textId="77777777" w:rsidR="002C4EB3" w:rsidRPr="002C4EB3" w:rsidRDefault="002C4EB3" w:rsidP="002C4EB3">
            <w:r w:rsidRPr="002C4EB3">
              <w:t>Eliminación Segura</w:t>
            </w:r>
          </w:p>
        </w:tc>
        <w:tc>
          <w:tcPr>
            <w:tcW w:w="0" w:type="auto"/>
            <w:tcBorders>
              <w:top w:val="single" w:sz="6" w:space="0" w:color="auto"/>
              <w:left w:val="single" w:sz="6" w:space="0" w:color="auto"/>
              <w:bottom w:val="single" w:sz="6" w:space="0" w:color="auto"/>
              <w:right w:val="single" w:sz="6" w:space="0" w:color="auto"/>
            </w:tcBorders>
            <w:vAlign w:val="center"/>
            <w:hideMark/>
          </w:tcPr>
          <w:p w14:paraId="17401E73" w14:textId="77777777" w:rsidR="002C4EB3" w:rsidRPr="002C4EB3" w:rsidRDefault="002C4EB3" w:rsidP="002C4EB3">
            <w:r w:rsidRPr="002C4EB3">
              <w:t>Destrucción certificada de documentos tras su vida útil</w:t>
            </w:r>
          </w:p>
        </w:tc>
        <w:tc>
          <w:tcPr>
            <w:tcW w:w="0" w:type="auto"/>
            <w:tcBorders>
              <w:top w:val="single" w:sz="6" w:space="0" w:color="auto"/>
              <w:left w:val="single" w:sz="6" w:space="0" w:color="auto"/>
              <w:bottom w:val="single" w:sz="6" w:space="0" w:color="auto"/>
              <w:right w:val="single" w:sz="6" w:space="0" w:color="auto"/>
            </w:tcBorders>
            <w:vAlign w:val="center"/>
            <w:hideMark/>
          </w:tcPr>
          <w:p w14:paraId="11DCDE3F" w14:textId="77777777" w:rsidR="002C4EB3" w:rsidRPr="002C4EB3" w:rsidRDefault="002C4EB3" w:rsidP="002C4EB3">
            <w:r w:rsidRPr="002C4EB3">
              <w:t xml:space="preserve">Evitar la acumulación innecesaria de datos (caos digital) </w:t>
            </w:r>
          </w:p>
        </w:tc>
      </w:tr>
    </w:tbl>
    <w:p w14:paraId="77299CC9" w14:textId="77777777" w:rsidR="002C4EB3" w:rsidRPr="002C4EB3" w:rsidRDefault="002C4EB3" w:rsidP="002C4EB3">
      <w:pPr>
        <w:rPr>
          <w:b/>
          <w:bCs/>
        </w:rPr>
      </w:pPr>
      <w:r w:rsidRPr="002C4EB3">
        <w:rPr>
          <w:b/>
          <w:bCs/>
        </w:rPr>
        <w:t>Seguridad y ética en el manejo de la información escolar</w:t>
      </w:r>
    </w:p>
    <w:p w14:paraId="1270C634" w14:textId="77777777" w:rsidR="002C4EB3" w:rsidRPr="002C4EB3" w:rsidRDefault="002C4EB3" w:rsidP="002C4EB3">
      <w:r w:rsidRPr="002C4EB3">
        <w:t>El manejo de documentos educativos implica una responsabilidad ética superior. La capacitación debe profundizar en las implicaciones de gestionar información de menores y los límites del acceso a la información confidencial.</w:t>
      </w:r>
    </w:p>
    <w:p w14:paraId="0B70840C" w14:textId="77777777" w:rsidR="002C4EB3" w:rsidRPr="002C4EB3" w:rsidRDefault="002C4EB3" w:rsidP="002C4EB3">
      <w:pPr>
        <w:rPr>
          <w:b/>
          <w:bCs/>
        </w:rPr>
      </w:pPr>
      <w:r w:rsidRPr="002C4EB3">
        <w:rPr>
          <w:b/>
          <w:bCs/>
        </w:rPr>
        <w:t>Protocolos de privacidad y Habeas Data</w:t>
      </w:r>
    </w:p>
    <w:p w14:paraId="76867AF3" w14:textId="77777777" w:rsidR="002C4EB3" w:rsidRPr="002C4EB3" w:rsidRDefault="002C4EB3" w:rsidP="002C4EB3">
      <w:r w:rsidRPr="002C4EB3">
        <w:t>Todo el personal debe firmar acuerdos de confidencialidad y recibir formación sobre los riesgos del tratamiento indebido de datos personales. Se debe enseñar a distinguir entre datos públicos, semiprivados y sensibles (como diagnósticos médicos o condiciones socioeconómicas de los alumnos). El software debe estar configurado para que el acceso a datos sensibles requiera una justificación o una autorización superior, dejando siempre un registro del motivo de la consulta.</w:t>
      </w:r>
    </w:p>
    <w:p w14:paraId="2027BE21" w14:textId="77777777" w:rsidR="002C4EB3" w:rsidRPr="002C4EB3" w:rsidRDefault="002C4EB3" w:rsidP="002C4EB3">
      <w:pPr>
        <w:rPr>
          <w:b/>
          <w:bCs/>
        </w:rPr>
      </w:pPr>
      <w:r w:rsidRPr="002C4EB3">
        <w:rPr>
          <w:b/>
          <w:bCs/>
        </w:rPr>
        <w:t>Ética y responsabilidad del servidor público y privado</w:t>
      </w:r>
    </w:p>
    <w:p w14:paraId="2FB5C996" w14:textId="77777777" w:rsidR="002C4EB3" w:rsidRPr="002C4EB3" w:rsidRDefault="002C4EB3" w:rsidP="002C4EB3">
      <w:r w:rsidRPr="002C4EB3">
        <w:t>Los empleados deben comprender que los documentos que producen o custodian son propiedad del Estado (en lo público) o de la institución como bien de interés social, y que su alteración o destrucción no autorizada acarrea sanciones disciplinarias y penales graves según la Ley General de Archivos y el Código Disciplinario Único. La cultura documental debe basarse en el valor de la verdad y la integridad de la información académica.</w:t>
      </w:r>
    </w:p>
    <w:p w14:paraId="6C0351E9" w14:textId="77777777" w:rsidR="002C4EB3" w:rsidRPr="002C4EB3" w:rsidRDefault="002C4EB3" w:rsidP="002C4EB3">
      <w:pPr>
        <w:rPr>
          <w:b/>
          <w:bCs/>
        </w:rPr>
      </w:pPr>
      <w:r w:rsidRPr="002C4EB3">
        <w:rPr>
          <w:b/>
          <w:bCs/>
        </w:rPr>
        <w:t>Indicadores clave de desempeño (KPI) y mejora continua</w:t>
      </w:r>
    </w:p>
    <w:p w14:paraId="566A505A" w14:textId="77777777" w:rsidR="002C4EB3" w:rsidRPr="002C4EB3" w:rsidRDefault="002C4EB3" w:rsidP="002C4EB3">
      <w:r w:rsidRPr="002C4EB3">
        <w:t>Lo que no se mide no se puede mejorar. El éxito del plan de capacitación y de la adopción del software debe evaluarse mediante indicadores claros que permitan tomar decisiones basadas en evidencias.</w:t>
      </w:r>
    </w:p>
    <w:p w14:paraId="47997E83" w14:textId="77777777" w:rsidR="002C4EB3" w:rsidRPr="002C4EB3" w:rsidRDefault="002C4EB3" w:rsidP="002C4EB3">
      <w:pPr>
        <w:rPr>
          <w:b/>
          <w:bCs/>
        </w:rPr>
      </w:pPr>
      <w:r w:rsidRPr="002C4EB3">
        <w:rPr>
          <w:b/>
          <w:bCs/>
        </w:rPr>
        <w:t>Métricas de adopción y uso del sistema</w:t>
      </w:r>
    </w:p>
    <w:p w14:paraId="66973E0E" w14:textId="77777777" w:rsidR="002C4EB3" w:rsidRPr="002C4EB3" w:rsidRDefault="002C4EB3" w:rsidP="002C4EB3">
      <w:pPr>
        <w:numPr>
          <w:ilvl w:val="0"/>
          <w:numId w:val="6"/>
        </w:numPr>
      </w:pPr>
      <w:r w:rsidRPr="002C4EB3">
        <w:rPr>
          <w:b/>
          <w:bCs/>
        </w:rPr>
        <w:lastRenderedPageBreak/>
        <w:t>Tasa de adopción de usuarios:</w:t>
      </w:r>
      <w:r w:rsidRPr="002C4EB3">
        <w:t xml:space="preserve"> Porcentaje de funcionarios que ingresan al sistema diariamente y completan sus tareas asignadas. Una baja tasa de adopción en un departamento específico puede indicar la necesidad de un refuerzo en la capacitación.</w:t>
      </w:r>
    </w:p>
    <w:p w14:paraId="53349074" w14:textId="77777777" w:rsidR="002C4EB3" w:rsidRPr="002C4EB3" w:rsidRDefault="002C4EB3" w:rsidP="002C4EB3">
      <w:pPr>
        <w:numPr>
          <w:ilvl w:val="0"/>
          <w:numId w:val="6"/>
        </w:numPr>
      </w:pPr>
      <w:r w:rsidRPr="002C4EB3">
        <w:rPr>
          <w:b/>
          <w:bCs/>
        </w:rPr>
        <w:t>Tiempo promedio de trámite:</w:t>
      </w:r>
      <w:r w:rsidRPr="002C4EB3">
        <w:t xml:space="preserve"> Comparativa del tiempo que toma resolver una solicitud (ej. entrega de un certificado) antes y después de la implementación del software. El objetivo es una reducción progresiva de estos tiempos.</w:t>
      </w:r>
    </w:p>
    <w:p w14:paraId="2296852A" w14:textId="77777777" w:rsidR="002C4EB3" w:rsidRPr="002C4EB3" w:rsidRDefault="002C4EB3" w:rsidP="002C4EB3">
      <w:pPr>
        <w:numPr>
          <w:ilvl w:val="0"/>
          <w:numId w:val="6"/>
        </w:numPr>
      </w:pPr>
      <w:r w:rsidRPr="002C4EB3">
        <w:rPr>
          <w:b/>
          <w:bCs/>
        </w:rPr>
        <w:t>Volumen de impresiones:</w:t>
      </w:r>
      <w:r w:rsidRPr="002C4EB3">
        <w:t xml:space="preserve"> Medición del consumo de papel y tóner. Una reducción constante es el mejor indicador del éxito de la cultura "Cero Papel".</w:t>
      </w:r>
    </w:p>
    <w:p w14:paraId="037F59A1" w14:textId="77777777" w:rsidR="002C4EB3" w:rsidRPr="002C4EB3" w:rsidRDefault="002C4EB3" w:rsidP="002C4EB3">
      <w:pPr>
        <w:rPr>
          <w:b/>
          <w:bCs/>
        </w:rPr>
      </w:pPr>
      <w:r w:rsidRPr="002C4EB3">
        <w:rPr>
          <w:b/>
          <w:bCs/>
        </w:rPr>
        <w:t>Métricas de calidad y satisfacción</w:t>
      </w:r>
    </w:p>
    <w:p w14:paraId="479E1FE6" w14:textId="77777777" w:rsidR="002C4EB3" w:rsidRPr="002C4EB3" w:rsidRDefault="002C4EB3" w:rsidP="002C4EB3">
      <w:pPr>
        <w:numPr>
          <w:ilvl w:val="0"/>
          <w:numId w:val="7"/>
        </w:numPr>
      </w:pPr>
      <w:r w:rsidRPr="002C4EB3">
        <w:rPr>
          <w:b/>
          <w:bCs/>
        </w:rPr>
        <w:t>Precisión de la clasificación:</w:t>
      </w:r>
      <w:r w:rsidRPr="002C4EB3">
        <w:t xml:space="preserve"> Porcentaje de documentos que son archivados correctamente según las TRD. Se mide a través de auditorías aleatorias sobre el repositorio digital.</w:t>
      </w:r>
    </w:p>
    <w:p w14:paraId="183A8D0E" w14:textId="77777777" w:rsidR="002C4EB3" w:rsidRPr="002C4EB3" w:rsidRDefault="002C4EB3" w:rsidP="002C4EB3">
      <w:pPr>
        <w:numPr>
          <w:ilvl w:val="0"/>
          <w:numId w:val="7"/>
        </w:numPr>
      </w:pPr>
      <w:r w:rsidRPr="002C4EB3">
        <w:rPr>
          <w:b/>
          <w:bCs/>
        </w:rPr>
        <w:t>Índice de satisfacción del usuario interno:</w:t>
      </w:r>
      <w:r w:rsidRPr="002C4EB3">
        <w:t xml:space="preserve"> Encuestas periódicas a docentes y administrativos sobre la facilidad de uso del software y la utilidad de las capacitaciones recibidas. La satisfacción del usuario es el motor de la permanencia del sistema.</w:t>
      </w:r>
    </w:p>
    <w:p w14:paraId="1942050A" w14:textId="77777777" w:rsidR="002C4EB3" w:rsidRPr="002C4EB3" w:rsidRDefault="002C4EB3" w:rsidP="002C4EB3">
      <w:pPr>
        <w:rPr>
          <w:b/>
          <w:bCs/>
        </w:rPr>
      </w:pPr>
      <w:r w:rsidRPr="002C4EB3">
        <w:rPr>
          <w:b/>
          <w:bCs/>
        </w:rPr>
        <w:t>Conclusiones y recomendaciones para la sostenibilidad</w:t>
      </w:r>
    </w:p>
    <w:p w14:paraId="14C817E5" w14:textId="77777777" w:rsidR="002C4EB3" w:rsidRPr="002C4EB3" w:rsidRDefault="002C4EB3" w:rsidP="002C4EB3">
      <w:r w:rsidRPr="002C4EB3">
        <w:t>La transformación de la gestión documental en una institución educativa es un viaje de largo aliento que requiere paciencia, recursos y una estrategia clara. No se trata de un proyecto de tecnología, sino de un proyecto de personas. El plan de capacitación propuesto no solo dota al personal de las habilidades técnicas necesarias, sino que aborda la dimensión humana del cambio, utilizando la gamificación y la andragogía como puentes hacia la modernización.</w:t>
      </w:r>
    </w:p>
    <w:p w14:paraId="5B4955B3" w14:textId="77777777" w:rsidR="002C4EB3" w:rsidRPr="002C4EB3" w:rsidRDefault="002C4EB3" w:rsidP="002C4EB3">
      <w:r w:rsidRPr="002C4EB3">
        <w:t>Se recomienda a la dirección institucional mantener un apoyo constante al equipo de gestión documental, garantizando que el presupuesto para actualizaciones tecnológicas y programas de formación continua sea una prioridad anual. Asimismo, es vital que los procesos de inducción para nuevos empleados incluyan obligatoriamente el módulo de gestión documental, asegurando que la cultura digital se transmita de generación en generación de funcionarios. Al integrar la excelencia archivística con la innovación tecnológica, la institución no solo cumple con el marco legal colombiano, sino que protege su patrimonio más valioso: la información que sustenta la educación de las futuras generaciones.</w:t>
      </w:r>
    </w:p>
    <w:p w14:paraId="17BAF604" w14:textId="7E8076BD" w:rsidR="002C4EB3" w:rsidRDefault="002C4EB3">
      <w:r>
        <w:br w:type="page"/>
      </w:r>
    </w:p>
    <w:p w14:paraId="627142C3" w14:textId="54DDA1BD" w:rsidR="002C4EB3" w:rsidRDefault="002C4EB3" w:rsidP="002C4EB3">
      <w:pPr>
        <w:jc w:val="center"/>
        <w:rPr>
          <w:b/>
          <w:bCs/>
        </w:rPr>
      </w:pPr>
      <w:r>
        <w:rPr>
          <w:b/>
          <w:bCs/>
        </w:rPr>
        <w:lastRenderedPageBreak/>
        <w:t>Temario plan de capacitación.</w:t>
      </w:r>
    </w:p>
    <w:p w14:paraId="778E78E2" w14:textId="77777777" w:rsidR="002C4EB3" w:rsidRDefault="002C4EB3" w:rsidP="002C4EB3">
      <w:pPr>
        <w:jc w:val="center"/>
        <w:rPr>
          <w:b/>
          <w:bCs/>
        </w:rPr>
      </w:pPr>
    </w:p>
    <w:p w14:paraId="019F76DD" w14:textId="3B485EFF" w:rsidR="002C4EB3" w:rsidRPr="002C4EB3" w:rsidRDefault="002C4EB3" w:rsidP="002C4EB3">
      <w:pPr>
        <w:rPr>
          <w:b/>
          <w:bCs/>
        </w:rPr>
      </w:pPr>
      <w:r w:rsidRPr="002C4EB3">
        <w:rPr>
          <w:b/>
          <w:bCs/>
        </w:rPr>
        <w:t>Módulo 1: Sensibilización y Estrategia de Transformación Digital</w:t>
      </w:r>
    </w:p>
    <w:p w14:paraId="5D9FB65A" w14:textId="77777777" w:rsidR="002C4EB3" w:rsidRPr="002C4EB3" w:rsidRDefault="002C4EB3" w:rsidP="002C4EB3">
      <w:r w:rsidRPr="002C4EB3">
        <w:t>Este módulo busca alinear a todo el personal con la visión institucional de modernización y sostenibilidad.</w:t>
      </w:r>
    </w:p>
    <w:p w14:paraId="53239222" w14:textId="77777777" w:rsidR="002C4EB3" w:rsidRPr="002C4EB3" w:rsidRDefault="002C4EB3" w:rsidP="002C4EB3">
      <w:pPr>
        <w:numPr>
          <w:ilvl w:val="0"/>
          <w:numId w:val="8"/>
        </w:numPr>
      </w:pPr>
      <w:r w:rsidRPr="002C4EB3">
        <w:rPr>
          <w:b/>
          <w:bCs/>
        </w:rPr>
        <w:t>Visión Estratégica:</w:t>
      </w:r>
      <w:r w:rsidRPr="002C4EB3">
        <w:t xml:space="preserve"> Introducción a la transformación digital del sector educativo y beneficios de la eficiencia administrativa.</w:t>
      </w:r>
    </w:p>
    <w:p w14:paraId="16A9F5D3" w14:textId="77777777" w:rsidR="002C4EB3" w:rsidRPr="002C4EB3" w:rsidRDefault="002C4EB3" w:rsidP="002C4EB3">
      <w:pPr>
        <w:numPr>
          <w:ilvl w:val="0"/>
          <w:numId w:val="8"/>
        </w:numPr>
      </w:pPr>
      <w:r w:rsidRPr="002C4EB3">
        <w:rPr>
          <w:b/>
          <w:bCs/>
        </w:rPr>
        <w:t>Iniciativa "Cero Papel":</w:t>
      </w:r>
      <w:r w:rsidRPr="002C4EB3">
        <w:t xml:space="preserve"> Identificación de los costos y el impacto ambiental del uso excesivo de papel en la institución.</w:t>
      </w:r>
    </w:p>
    <w:p w14:paraId="11486078" w14:textId="77777777" w:rsidR="002C4EB3" w:rsidRPr="002C4EB3" w:rsidRDefault="002C4EB3" w:rsidP="002C4EB3">
      <w:pPr>
        <w:numPr>
          <w:ilvl w:val="0"/>
          <w:numId w:val="8"/>
        </w:numPr>
      </w:pPr>
      <w:r w:rsidRPr="002C4EB3">
        <w:rPr>
          <w:b/>
          <w:bCs/>
        </w:rPr>
        <w:t>Gestión del Cambio:</w:t>
      </w:r>
      <w:r w:rsidRPr="002C4EB3">
        <w:t xml:space="preserve"> El rol del líder de estrategia y la importancia del equipo multidisciplinario para el éxito del proyecto.</w:t>
      </w:r>
    </w:p>
    <w:p w14:paraId="20A993A4" w14:textId="77777777" w:rsidR="002C4EB3" w:rsidRPr="002C4EB3" w:rsidRDefault="002C4EB3" w:rsidP="002C4EB3">
      <w:pPr>
        <w:rPr>
          <w:b/>
          <w:bCs/>
        </w:rPr>
      </w:pPr>
      <w:r w:rsidRPr="002C4EB3">
        <w:rPr>
          <w:b/>
          <w:bCs/>
        </w:rPr>
        <w:t>Módulo 2: Fundamentos de Gestión Documental y Normativa Colombiana</w:t>
      </w:r>
    </w:p>
    <w:p w14:paraId="2491CF53" w14:textId="77777777" w:rsidR="002C4EB3" w:rsidRPr="002C4EB3" w:rsidRDefault="002C4EB3" w:rsidP="002C4EB3">
      <w:r w:rsidRPr="002C4EB3">
        <w:t>Capacitación técnica sobre las obligaciones legales y los principios de la archivística moderna.</w:t>
      </w:r>
    </w:p>
    <w:p w14:paraId="08CB6757" w14:textId="77777777" w:rsidR="002C4EB3" w:rsidRPr="002C4EB3" w:rsidRDefault="002C4EB3" w:rsidP="002C4EB3">
      <w:pPr>
        <w:numPr>
          <w:ilvl w:val="0"/>
          <w:numId w:val="9"/>
        </w:numPr>
      </w:pPr>
      <w:r w:rsidRPr="002C4EB3">
        <w:rPr>
          <w:b/>
          <w:bCs/>
        </w:rPr>
        <w:t>Marco Legal:</w:t>
      </w:r>
      <w:r w:rsidRPr="002C4EB3">
        <w:t xml:space="preserve"> Aplicación de la Ley 594 de 2000 (Ley General de Archivos) y la Ley 1712 de 2014 (Transparencia y Acceso a la Información).</w:t>
      </w:r>
    </w:p>
    <w:p w14:paraId="7E483351" w14:textId="77777777" w:rsidR="002C4EB3" w:rsidRPr="002C4EB3" w:rsidRDefault="002C4EB3" w:rsidP="002C4EB3">
      <w:pPr>
        <w:numPr>
          <w:ilvl w:val="0"/>
          <w:numId w:val="9"/>
        </w:numPr>
      </w:pPr>
      <w:r w:rsidRPr="002C4EB3">
        <w:rPr>
          <w:b/>
          <w:bCs/>
        </w:rPr>
        <w:t>Ciclo Vital del Documento:</w:t>
      </w:r>
      <w:r w:rsidRPr="002C4EB3">
        <w:t xml:space="preserve"> El concepto de Archivo Total: desde la producción y recepción hasta la disposición final o conservación histórica.</w:t>
      </w:r>
    </w:p>
    <w:p w14:paraId="32E5ABE7" w14:textId="77777777" w:rsidR="002C4EB3" w:rsidRPr="002C4EB3" w:rsidRDefault="002C4EB3" w:rsidP="002C4EB3">
      <w:pPr>
        <w:numPr>
          <w:ilvl w:val="0"/>
          <w:numId w:val="9"/>
        </w:numPr>
      </w:pPr>
      <w:r w:rsidRPr="002C4EB3">
        <w:rPr>
          <w:b/>
          <w:bCs/>
        </w:rPr>
        <w:t>Instrumentos Archivísticos:</w:t>
      </w:r>
      <w:r w:rsidRPr="002C4EB3">
        <w:t xml:space="preserve"> Uso y aplicación de las Tablas de Retención Documental (TRD) y los Cuadros de Clasificación Documental (CCD).</w:t>
      </w:r>
    </w:p>
    <w:p w14:paraId="300091F6" w14:textId="77777777" w:rsidR="002C4EB3" w:rsidRPr="002C4EB3" w:rsidRDefault="002C4EB3" w:rsidP="002C4EB3">
      <w:pPr>
        <w:numPr>
          <w:ilvl w:val="0"/>
          <w:numId w:val="9"/>
        </w:numPr>
      </w:pPr>
      <w:r w:rsidRPr="002C4EB3">
        <w:rPr>
          <w:b/>
          <w:bCs/>
        </w:rPr>
        <w:t>Normalización:</w:t>
      </w:r>
      <w:r w:rsidRPr="002C4EB3">
        <w:t xml:space="preserve"> Criterios de foliación, organización de expedientes y tipos documentales.</w:t>
      </w:r>
    </w:p>
    <w:p w14:paraId="20EC6A6D" w14:textId="77777777" w:rsidR="002C4EB3" w:rsidRPr="002C4EB3" w:rsidRDefault="002C4EB3" w:rsidP="002C4EB3">
      <w:pPr>
        <w:rPr>
          <w:b/>
          <w:bCs/>
        </w:rPr>
      </w:pPr>
      <w:r w:rsidRPr="002C4EB3">
        <w:rPr>
          <w:b/>
          <w:bCs/>
        </w:rPr>
        <w:t>Módulo 3: Seguridad de la Información y Protección de Datos (Habeas Data)</w:t>
      </w:r>
    </w:p>
    <w:p w14:paraId="28BBAC32" w14:textId="77777777" w:rsidR="002C4EB3" w:rsidRPr="002C4EB3" w:rsidRDefault="002C4EB3" w:rsidP="002C4EB3">
      <w:r w:rsidRPr="002C4EB3">
        <w:t>Enfoque especializado en la responsabilidad ética y legal del manejo de información escolar sensible.</w:t>
      </w:r>
    </w:p>
    <w:p w14:paraId="42C9B06A" w14:textId="77777777" w:rsidR="002C4EB3" w:rsidRPr="002C4EB3" w:rsidRDefault="002C4EB3" w:rsidP="002C4EB3">
      <w:pPr>
        <w:numPr>
          <w:ilvl w:val="0"/>
          <w:numId w:val="10"/>
        </w:numPr>
      </w:pPr>
      <w:r w:rsidRPr="002C4EB3">
        <w:rPr>
          <w:b/>
          <w:bCs/>
        </w:rPr>
        <w:t>Protección de Datos Personales:</w:t>
      </w:r>
      <w:r w:rsidRPr="002C4EB3">
        <w:t xml:space="preserve"> Principios de la Ley 1581 de 2012 y el Decreto 1377 de 2013.</w:t>
      </w:r>
    </w:p>
    <w:p w14:paraId="4E819977" w14:textId="77777777" w:rsidR="002C4EB3" w:rsidRPr="002C4EB3" w:rsidRDefault="002C4EB3" w:rsidP="002C4EB3">
      <w:pPr>
        <w:numPr>
          <w:ilvl w:val="0"/>
          <w:numId w:val="10"/>
        </w:numPr>
      </w:pPr>
      <w:r w:rsidRPr="002C4EB3">
        <w:rPr>
          <w:b/>
          <w:bCs/>
        </w:rPr>
        <w:t>Datos de Menores:</w:t>
      </w:r>
      <w:r w:rsidRPr="002C4EB3">
        <w:t xml:space="preserve"> Tratamiento especial de la información de niños, niñas y adolescentes y derechos prevalentes.</w:t>
      </w:r>
    </w:p>
    <w:p w14:paraId="5CE94498" w14:textId="77777777" w:rsidR="002C4EB3" w:rsidRPr="002C4EB3" w:rsidRDefault="002C4EB3" w:rsidP="002C4EB3">
      <w:pPr>
        <w:numPr>
          <w:ilvl w:val="0"/>
          <w:numId w:val="10"/>
        </w:numPr>
      </w:pPr>
      <w:r w:rsidRPr="002C4EB3">
        <w:rPr>
          <w:b/>
          <w:bCs/>
        </w:rPr>
        <w:lastRenderedPageBreak/>
        <w:t>Derechos ARSULIPI:</w:t>
      </w:r>
      <w:r w:rsidRPr="002C4EB3">
        <w:t xml:space="preserve"> Gestión de solicitudes de acceso, rectificación, supresión y oposición por parte de padres y estudiantes.</w:t>
      </w:r>
    </w:p>
    <w:p w14:paraId="7BF9574D" w14:textId="77777777" w:rsidR="002C4EB3" w:rsidRPr="002C4EB3" w:rsidRDefault="002C4EB3" w:rsidP="002C4EB3">
      <w:pPr>
        <w:numPr>
          <w:ilvl w:val="0"/>
          <w:numId w:val="10"/>
        </w:numPr>
      </w:pPr>
      <w:r w:rsidRPr="002C4EB3">
        <w:rPr>
          <w:b/>
          <w:bCs/>
        </w:rPr>
        <w:t>Seguridad Técnica:</w:t>
      </w:r>
      <w:r w:rsidRPr="002C4EB3">
        <w:t xml:space="preserve"> Protocolos de contraseñas, cifrado de archivos y control de acceso basado en roles (RBAC).</w:t>
      </w:r>
    </w:p>
    <w:p w14:paraId="27972E3E" w14:textId="77777777" w:rsidR="002C4EB3" w:rsidRPr="002C4EB3" w:rsidRDefault="002C4EB3" w:rsidP="002C4EB3">
      <w:pPr>
        <w:rPr>
          <w:b/>
          <w:bCs/>
        </w:rPr>
      </w:pPr>
      <w:r w:rsidRPr="002C4EB3">
        <w:rPr>
          <w:b/>
          <w:bCs/>
        </w:rPr>
        <w:t>Módulo 4: Manejo Técnico del Software de Gestión Documental (SGD)</w:t>
      </w:r>
    </w:p>
    <w:p w14:paraId="6DD5D15E" w14:textId="77777777" w:rsidR="002C4EB3" w:rsidRPr="002C4EB3" w:rsidRDefault="002C4EB3" w:rsidP="002C4EB3">
      <w:r w:rsidRPr="002C4EB3">
        <w:t>Entrenamiento práctico en el uso de la herramienta tecnológica seleccionada.</w:t>
      </w:r>
    </w:p>
    <w:p w14:paraId="3ECE02FA" w14:textId="77777777" w:rsidR="002C4EB3" w:rsidRPr="002C4EB3" w:rsidRDefault="002C4EB3" w:rsidP="002C4EB3">
      <w:pPr>
        <w:numPr>
          <w:ilvl w:val="0"/>
          <w:numId w:val="11"/>
        </w:numPr>
      </w:pPr>
      <w:r w:rsidRPr="002C4EB3">
        <w:rPr>
          <w:b/>
          <w:bCs/>
        </w:rPr>
        <w:t>Interfaz y Acceso:</w:t>
      </w:r>
      <w:r w:rsidRPr="002C4EB3">
        <w:t xml:space="preserve"> Navegación en el tablero principal y gestión de credenciales de seguridad.</w:t>
      </w:r>
    </w:p>
    <w:p w14:paraId="0055062B" w14:textId="77777777" w:rsidR="002C4EB3" w:rsidRPr="002C4EB3" w:rsidRDefault="002C4EB3" w:rsidP="002C4EB3">
      <w:pPr>
        <w:numPr>
          <w:ilvl w:val="0"/>
          <w:numId w:val="11"/>
        </w:numPr>
      </w:pPr>
      <w:r w:rsidRPr="002C4EB3">
        <w:rPr>
          <w:b/>
          <w:bCs/>
        </w:rPr>
        <w:t>Captura y Registro:</w:t>
      </w:r>
      <w:r w:rsidRPr="002C4EB3">
        <w:t xml:space="preserve"> Digitalización certificada, carga de documentos mediante "arrastrar y soltar" y asignación de metadatos (curso, NIA, año).</w:t>
      </w:r>
    </w:p>
    <w:p w14:paraId="58DA4ED3" w14:textId="77777777" w:rsidR="002C4EB3" w:rsidRPr="002C4EB3" w:rsidRDefault="002C4EB3" w:rsidP="002C4EB3">
      <w:pPr>
        <w:numPr>
          <w:ilvl w:val="0"/>
          <w:numId w:val="11"/>
        </w:numPr>
      </w:pPr>
      <w:r w:rsidRPr="002C4EB3">
        <w:rPr>
          <w:b/>
          <w:bCs/>
        </w:rPr>
        <w:t>Firma Digital:</w:t>
      </w:r>
      <w:r w:rsidRPr="002C4EB3">
        <w:t xml:space="preserve"> Implementación de firmas electrónicas con validez legal para certificados y actas de grado.</w:t>
      </w:r>
    </w:p>
    <w:p w14:paraId="4A0EDF20" w14:textId="77777777" w:rsidR="002C4EB3" w:rsidRPr="002C4EB3" w:rsidRDefault="002C4EB3" w:rsidP="002C4EB3">
      <w:pPr>
        <w:numPr>
          <w:ilvl w:val="0"/>
          <w:numId w:val="11"/>
        </w:numPr>
      </w:pPr>
      <w:r w:rsidRPr="002C4EB3">
        <w:rPr>
          <w:b/>
          <w:bCs/>
        </w:rPr>
        <w:t>Flujos de Trabajo (</w:t>
      </w:r>
      <w:proofErr w:type="spellStart"/>
      <w:r w:rsidRPr="002C4EB3">
        <w:rPr>
          <w:b/>
          <w:bCs/>
        </w:rPr>
        <w:t>Workflows</w:t>
      </w:r>
      <w:proofErr w:type="spellEnd"/>
      <w:r w:rsidRPr="002C4EB3">
        <w:rPr>
          <w:b/>
          <w:bCs/>
        </w:rPr>
        <w:t>):</w:t>
      </w:r>
      <w:r w:rsidRPr="002C4EB3">
        <w:t xml:space="preserve"> Automatización de procesos comunes como matrículas, autorizaciones de excursiones y flujos de compras.</w:t>
      </w:r>
    </w:p>
    <w:p w14:paraId="3792BB1F" w14:textId="77777777" w:rsidR="002C4EB3" w:rsidRPr="002C4EB3" w:rsidRDefault="002C4EB3" w:rsidP="002C4EB3">
      <w:pPr>
        <w:numPr>
          <w:ilvl w:val="0"/>
          <w:numId w:val="11"/>
        </w:numPr>
      </w:pPr>
      <w:r w:rsidRPr="002C4EB3">
        <w:rPr>
          <w:b/>
          <w:bCs/>
        </w:rPr>
        <w:t>Búsqueda y Recuperación:</w:t>
      </w:r>
      <w:r w:rsidRPr="002C4EB3">
        <w:t xml:space="preserve"> Uso de motores de búsqueda avanzados y recuperación instantánea de expedientes académicos.</w:t>
      </w:r>
    </w:p>
    <w:p w14:paraId="13216EB4" w14:textId="77777777" w:rsidR="002C4EB3" w:rsidRPr="002C4EB3" w:rsidRDefault="002C4EB3" w:rsidP="002C4EB3">
      <w:pPr>
        <w:rPr>
          <w:b/>
          <w:bCs/>
        </w:rPr>
      </w:pPr>
      <w:r w:rsidRPr="002C4EB3">
        <w:rPr>
          <w:b/>
          <w:bCs/>
        </w:rPr>
        <w:t>Módulo 5: Cultura Documental, Hábitos y Gamificación</w:t>
      </w:r>
    </w:p>
    <w:p w14:paraId="04A0AC16" w14:textId="77777777" w:rsidR="002C4EB3" w:rsidRPr="002C4EB3" w:rsidRDefault="002C4EB3" w:rsidP="002C4EB3">
      <w:r w:rsidRPr="002C4EB3">
        <w:t>Estrategias para asegurar que el cambio tecnológico se convierta en un hábito institucional permanente.</w:t>
      </w:r>
    </w:p>
    <w:p w14:paraId="22F6806A" w14:textId="77777777" w:rsidR="002C4EB3" w:rsidRPr="002C4EB3" w:rsidRDefault="002C4EB3" w:rsidP="002C4EB3">
      <w:pPr>
        <w:numPr>
          <w:ilvl w:val="0"/>
          <w:numId w:val="12"/>
        </w:numPr>
      </w:pPr>
      <w:proofErr w:type="spellStart"/>
      <w:r w:rsidRPr="002C4EB3">
        <w:rPr>
          <w:b/>
          <w:bCs/>
        </w:rPr>
        <w:t>Micro-capacitaciones</w:t>
      </w:r>
      <w:proofErr w:type="spellEnd"/>
      <w:r w:rsidRPr="002C4EB3">
        <w:rPr>
          <w:b/>
          <w:bCs/>
        </w:rPr>
        <w:t xml:space="preserve"> (30 minutos):</w:t>
      </w:r>
      <w:r w:rsidRPr="002C4EB3">
        <w:t xml:space="preserve"> Sesiones breves y focalizadas en tareas reales del día a día de docentes y administrativos.</w:t>
      </w:r>
    </w:p>
    <w:p w14:paraId="65A933BA" w14:textId="77777777" w:rsidR="002C4EB3" w:rsidRPr="002C4EB3" w:rsidRDefault="002C4EB3" w:rsidP="002C4EB3">
      <w:pPr>
        <w:numPr>
          <w:ilvl w:val="0"/>
          <w:numId w:val="12"/>
        </w:numPr>
      </w:pPr>
      <w:r w:rsidRPr="002C4EB3">
        <w:rPr>
          <w:b/>
          <w:bCs/>
        </w:rPr>
        <w:t>Dinámicas de Juego:</w:t>
      </w:r>
      <w:r w:rsidRPr="002C4EB3">
        <w:t xml:space="preserve"> Sistema de puntos, niveles de experiencia y medallas por logros (ej. "Campeón de Sostenibilidad" o "Guardián de Datos").</w:t>
      </w:r>
    </w:p>
    <w:p w14:paraId="273262E1" w14:textId="77777777" w:rsidR="002C4EB3" w:rsidRPr="002C4EB3" w:rsidRDefault="002C4EB3" w:rsidP="002C4EB3">
      <w:pPr>
        <w:numPr>
          <w:ilvl w:val="0"/>
          <w:numId w:val="12"/>
        </w:numPr>
      </w:pPr>
      <w:r w:rsidRPr="002C4EB3">
        <w:rPr>
          <w:b/>
          <w:bCs/>
        </w:rPr>
        <w:t>Competencias Colaborativas:</w:t>
      </w:r>
      <w:r w:rsidRPr="002C4EB3">
        <w:t xml:space="preserve"> Tablas de clasificación por departamentos y desafíos semanales de "Cero Papel".</w:t>
      </w:r>
    </w:p>
    <w:p w14:paraId="53081253" w14:textId="77777777" w:rsidR="002C4EB3" w:rsidRPr="002C4EB3" w:rsidRDefault="002C4EB3" w:rsidP="002C4EB3">
      <w:pPr>
        <w:numPr>
          <w:ilvl w:val="0"/>
          <w:numId w:val="12"/>
        </w:numPr>
      </w:pPr>
      <w:r w:rsidRPr="002C4EB3">
        <w:rPr>
          <w:b/>
          <w:bCs/>
        </w:rPr>
        <w:t>Agentes Multiplicadores:</w:t>
      </w:r>
      <w:r w:rsidRPr="002C4EB3">
        <w:t xml:space="preserve"> Entrenamiento especializado para funcionarios que actuarán como apoyo técnico y líderes de cambio en sus áreas.</w:t>
      </w:r>
    </w:p>
    <w:p w14:paraId="77B3EA04" w14:textId="77777777" w:rsidR="002C4EB3" w:rsidRPr="002C4EB3" w:rsidRDefault="002C4EB3" w:rsidP="002C4EB3">
      <w:pPr>
        <w:rPr>
          <w:b/>
          <w:bCs/>
        </w:rPr>
      </w:pPr>
      <w:r w:rsidRPr="002C4EB3">
        <w:rPr>
          <w:b/>
          <w:bCs/>
        </w:rPr>
        <w:t>Módulo 6: Evaluación, Mejora Continua y Certificación</w:t>
      </w:r>
    </w:p>
    <w:p w14:paraId="4C25A2EC" w14:textId="77777777" w:rsidR="002C4EB3" w:rsidRPr="002C4EB3" w:rsidRDefault="002C4EB3" w:rsidP="002C4EB3">
      <w:pPr>
        <w:numPr>
          <w:ilvl w:val="0"/>
          <w:numId w:val="13"/>
        </w:numPr>
      </w:pPr>
      <w:r w:rsidRPr="002C4EB3">
        <w:rPr>
          <w:b/>
          <w:bCs/>
        </w:rPr>
        <w:t>Indicadores Clave (KPI):</w:t>
      </w:r>
      <w:r w:rsidRPr="002C4EB3">
        <w:t xml:space="preserve"> Medición de la reducción de papel y tiempos de respuesta en trámites escolares.</w:t>
      </w:r>
    </w:p>
    <w:p w14:paraId="5AE82128" w14:textId="77777777" w:rsidR="002C4EB3" w:rsidRPr="002C4EB3" w:rsidRDefault="002C4EB3" w:rsidP="002C4EB3">
      <w:pPr>
        <w:numPr>
          <w:ilvl w:val="0"/>
          <w:numId w:val="13"/>
        </w:numPr>
      </w:pPr>
      <w:r w:rsidRPr="002C4EB3">
        <w:rPr>
          <w:b/>
          <w:bCs/>
        </w:rPr>
        <w:lastRenderedPageBreak/>
        <w:t>Auditoría de Calidad:</w:t>
      </w:r>
      <w:r w:rsidRPr="002C4EB3">
        <w:t xml:space="preserve"> Verificación de la correcta indexación y clasificación de documentos en el sistema.</w:t>
      </w:r>
    </w:p>
    <w:p w14:paraId="164CEB2D" w14:textId="77777777" w:rsidR="002C4EB3" w:rsidRPr="002C4EB3" w:rsidRDefault="002C4EB3" w:rsidP="002C4EB3">
      <w:pPr>
        <w:numPr>
          <w:ilvl w:val="0"/>
          <w:numId w:val="13"/>
        </w:numPr>
      </w:pPr>
      <w:r w:rsidRPr="002C4EB3">
        <w:rPr>
          <w:b/>
          <w:bCs/>
        </w:rPr>
        <w:t>Certificación Institucional:</w:t>
      </w:r>
      <w:r w:rsidRPr="002C4EB3">
        <w:t xml:space="preserve"> Entrega de certificados de competencias digitales a los participantes que superen las pruebas de desempeño.</w:t>
      </w:r>
    </w:p>
    <w:p w14:paraId="21582FAA" w14:textId="77777777" w:rsidR="00E47A9C" w:rsidRDefault="00E47A9C" w:rsidP="0012694D">
      <w:pPr>
        <w:jc w:val="center"/>
      </w:pPr>
    </w:p>
    <w:sectPr w:rsidR="00E47A9C">
      <w:headerReference w:type="even" r:id="rId7"/>
      <w:headerReference w:type="firs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73D1A" w14:textId="77777777" w:rsidR="00A61748" w:rsidRDefault="00A61748" w:rsidP="002C4EB3">
      <w:pPr>
        <w:spacing w:after="0" w:line="240" w:lineRule="auto"/>
      </w:pPr>
      <w:r>
        <w:separator/>
      </w:r>
    </w:p>
  </w:endnote>
  <w:endnote w:type="continuationSeparator" w:id="0">
    <w:p w14:paraId="38553182" w14:textId="77777777" w:rsidR="00A61748" w:rsidRDefault="00A61748" w:rsidP="002C4E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365E2" w14:textId="77777777" w:rsidR="00A61748" w:rsidRDefault="00A61748" w:rsidP="002C4EB3">
      <w:pPr>
        <w:spacing w:after="0" w:line="240" w:lineRule="auto"/>
      </w:pPr>
      <w:r>
        <w:separator/>
      </w:r>
    </w:p>
  </w:footnote>
  <w:footnote w:type="continuationSeparator" w:id="0">
    <w:p w14:paraId="1CDD6D99" w14:textId="77777777" w:rsidR="00A61748" w:rsidRDefault="00A61748" w:rsidP="002C4E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5D23A" w14:textId="3FEF074E" w:rsidR="002C4EB3" w:rsidRDefault="002C4EB3">
    <w:pPr>
      <w:pStyle w:val="Encabezado"/>
    </w:pPr>
    <w:r>
      <w:rPr>
        <w:noProof/>
      </w:rPr>
      <mc:AlternateContent>
        <mc:Choice Requires="wps">
          <w:drawing>
            <wp:anchor distT="0" distB="0" distL="114300" distR="114300" simplePos="0" relativeHeight="251659264" behindDoc="1" locked="0" layoutInCell="1" allowOverlap="1" wp14:anchorId="4FF80FB4" wp14:editId="379E9FD8">
              <wp:simplePos x="635" y="635"/>
              <wp:positionH relativeFrom="margin">
                <wp:align>center</wp:align>
              </wp:positionH>
              <wp:positionV relativeFrom="margin">
                <wp:align>center</wp:align>
              </wp:positionV>
              <wp:extent cx="1671320" cy="431165"/>
              <wp:effectExtent l="0" t="533400" r="0" b="540385"/>
              <wp:wrapNone/>
              <wp:docPr id="1922582622" name="Cuadro de texto 2" descr="Información Confidencial &#10;DS-BARRANQUILLA">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rot="18900000">
                        <a:off x="0" y="0"/>
                        <a:ext cx="1671320" cy="431165"/>
                      </a:xfrm>
                      <a:prstGeom prst="rect">
                        <a:avLst/>
                      </a:prstGeom>
                      <a:noFill/>
                      <a:ln>
                        <a:noFill/>
                      </a:ln>
                    </wps:spPr>
                    <wps:txbx>
                      <w:txbxContent>
                        <w:p w14:paraId="42019E7F" w14:textId="77777777" w:rsidR="002C4EB3" w:rsidRPr="002C4EB3" w:rsidRDefault="002C4EB3" w:rsidP="002C4EB3">
                          <w:pPr>
                            <w:spacing w:after="0"/>
                            <w:rPr>
                              <w:rFonts w:ascii="Aptos" w:eastAsia="Aptos" w:hAnsi="Aptos" w:cs="Aptos"/>
                              <w:noProof/>
                              <w:color w:val="000000"/>
                              <w14:textFill>
                                <w14:solidFill>
                                  <w14:srgbClr w14:val="000000">
                                    <w14:alpha w14:val="50000"/>
                                  </w14:srgbClr>
                                </w14:solidFill>
                              </w14:textFill>
                            </w:rPr>
                          </w:pPr>
                          <w:r w:rsidRPr="002C4EB3">
                            <w:rPr>
                              <w:rFonts w:ascii="Aptos" w:eastAsia="Aptos" w:hAnsi="Aptos" w:cs="Aptos"/>
                              <w:noProof/>
                              <w:color w:val="000000"/>
                              <w14:textFill>
                                <w14:solidFill>
                                  <w14:srgbClr w14:val="000000">
                                    <w14:alpha w14:val="50000"/>
                                  </w14:srgbClr>
                                </w14:solidFill>
                              </w14:textFill>
                            </w:rPr>
                            <w:t xml:space="preserve">Información Confidencial </w:t>
                          </w:r>
                        </w:p>
                        <w:p w14:paraId="55E4EEAD" w14:textId="532A56A9" w:rsidR="002C4EB3" w:rsidRPr="002C4EB3" w:rsidRDefault="002C4EB3" w:rsidP="002C4EB3">
                          <w:pPr>
                            <w:spacing w:after="0"/>
                            <w:rPr>
                              <w:rFonts w:ascii="Aptos" w:eastAsia="Aptos" w:hAnsi="Aptos" w:cs="Aptos"/>
                              <w:noProof/>
                              <w:color w:val="000000"/>
                              <w14:textFill>
                                <w14:solidFill>
                                  <w14:srgbClr w14:val="000000">
                                    <w14:alpha w14:val="50000"/>
                                  </w14:srgbClr>
                                </w14:solidFill>
                              </w14:textFill>
                            </w:rPr>
                          </w:pPr>
                          <w:r w:rsidRPr="002C4EB3">
                            <w:rPr>
                              <w:rFonts w:ascii="Aptos" w:eastAsia="Aptos" w:hAnsi="Aptos" w:cs="Aptos"/>
                              <w:noProof/>
                              <w:color w:val="000000"/>
                              <w14:textFill>
                                <w14:solidFill>
                                  <w14:srgbClr w14:val="000000">
                                    <w14:alpha w14:val="50000"/>
                                  </w14:srgbClr>
                                </w14:solidFill>
                              </w14:textFill>
                            </w:rPr>
                            <w:t>DS-BARRANQUILLA</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4FF80FB4" id="_x0000_t202" coordsize="21600,21600" o:spt="202" path="m,l,21600r21600,l21600,xe">
              <v:stroke joinstyle="miter"/>
              <v:path gradientshapeok="t" o:connecttype="rect"/>
            </v:shapetype>
            <v:shape id="Cuadro de texto 2" o:spid="_x0000_s1026" type="#_x0000_t202" alt="Información Confidencial &#10;DS-BARRANQUILLA" style="position:absolute;margin-left:0;margin-top:0;width:131.6pt;height:33.95pt;rotation:-45;z-index:-251657216;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" filled="f" stroked="f">
              <v:fill o:detectmouseclick="t"/>
              <v:textbox style="mso-fit-shape-to-text:t" inset="0,0,0,0">
                <w:txbxContent>
                  <w:p w14:paraId="42019E7F" w14:textId="77777777" w:rsidR="002C4EB3" w:rsidRPr="002C4EB3" w:rsidRDefault="002C4EB3" w:rsidP="002C4EB3">
                    <w:pPr>
                      <w:spacing w:after="0"/>
                      <w:rPr>
                        <w:rFonts w:ascii="Aptos" w:eastAsia="Aptos" w:hAnsi="Aptos" w:cs="Aptos"/>
                        <w:noProof/>
                        <w:color w:val="000000"/>
                        <w14:textFill>
                          <w14:solidFill>
                            <w14:srgbClr w14:val="000000">
                              <w14:alpha w14:val="50000"/>
                            </w14:srgbClr>
                          </w14:solidFill>
                        </w14:textFill>
                      </w:rPr>
                    </w:pPr>
                    <w:r w:rsidRPr="002C4EB3">
                      <w:rPr>
                        <w:rFonts w:ascii="Aptos" w:eastAsia="Aptos" w:hAnsi="Aptos" w:cs="Aptos"/>
                        <w:noProof/>
                        <w:color w:val="000000"/>
                        <w14:textFill>
                          <w14:solidFill>
                            <w14:srgbClr w14:val="000000">
                              <w14:alpha w14:val="50000"/>
                            </w14:srgbClr>
                          </w14:solidFill>
                        </w14:textFill>
                      </w:rPr>
                      <w:t xml:space="preserve">Información Confidencial </w:t>
                    </w:r>
                  </w:p>
                  <w:p w14:paraId="55E4EEAD" w14:textId="532A56A9" w:rsidR="002C4EB3" w:rsidRPr="002C4EB3" w:rsidRDefault="002C4EB3" w:rsidP="002C4EB3">
                    <w:pPr>
                      <w:spacing w:after="0"/>
                      <w:rPr>
                        <w:rFonts w:ascii="Aptos" w:eastAsia="Aptos" w:hAnsi="Aptos" w:cs="Aptos"/>
                        <w:noProof/>
                        <w:color w:val="000000"/>
                        <w14:textFill>
                          <w14:solidFill>
                            <w14:srgbClr w14:val="000000">
                              <w14:alpha w14:val="50000"/>
                            </w14:srgbClr>
                          </w14:solidFill>
                        </w14:textFill>
                      </w:rPr>
                    </w:pPr>
                    <w:r w:rsidRPr="002C4EB3">
                      <w:rPr>
                        <w:rFonts w:ascii="Aptos" w:eastAsia="Aptos" w:hAnsi="Aptos" w:cs="Aptos"/>
                        <w:noProof/>
                        <w:color w:val="000000"/>
                        <w14:textFill>
                          <w14:solidFill>
                            <w14:srgbClr w14:val="000000">
                              <w14:alpha w14:val="50000"/>
                            </w14:srgbClr>
                          </w14:solidFill>
                        </w14:textFill>
                      </w:rPr>
                      <w:t>DS-BARRANQUILLA</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EC749" w14:textId="358CCB25" w:rsidR="002C4EB3" w:rsidRDefault="002C4EB3">
    <w:pPr>
      <w:pStyle w:val="Encabezado"/>
    </w:pPr>
    <w:r>
      <w:rPr>
        <w:noProof/>
      </w:rPr>
      <mc:AlternateContent>
        <mc:Choice Requires="wps">
          <w:drawing>
            <wp:anchor distT="0" distB="0" distL="114300" distR="114300" simplePos="0" relativeHeight="251658240" behindDoc="1" locked="0" layoutInCell="1" allowOverlap="1" wp14:anchorId="755A1392" wp14:editId="507095DD">
              <wp:simplePos x="635" y="635"/>
              <wp:positionH relativeFrom="margin">
                <wp:align>center</wp:align>
              </wp:positionH>
              <wp:positionV relativeFrom="margin">
                <wp:align>center</wp:align>
              </wp:positionV>
              <wp:extent cx="1671320" cy="431165"/>
              <wp:effectExtent l="0" t="533400" r="0" b="540385"/>
              <wp:wrapNone/>
              <wp:docPr id="596116385" name="Cuadro de texto 1" descr="Información Confidencial &#10;DS-BARRANQUILLA">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rot="18900000">
                        <a:off x="0" y="0"/>
                        <a:ext cx="1671320" cy="431165"/>
                      </a:xfrm>
                      <a:prstGeom prst="rect">
                        <a:avLst/>
                      </a:prstGeom>
                      <a:noFill/>
                      <a:ln>
                        <a:noFill/>
                      </a:ln>
                    </wps:spPr>
                    <wps:txbx>
                      <w:txbxContent>
                        <w:p w14:paraId="17A2338C" w14:textId="77777777" w:rsidR="002C4EB3" w:rsidRPr="002C4EB3" w:rsidRDefault="002C4EB3" w:rsidP="002C4EB3">
                          <w:pPr>
                            <w:spacing w:after="0"/>
                            <w:rPr>
                              <w:rFonts w:ascii="Aptos" w:eastAsia="Aptos" w:hAnsi="Aptos" w:cs="Aptos"/>
                              <w:noProof/>
                              <w:color w:val="000000"/>
                              <w14:textFill>
                                <w14:solidFill>
                                  <w14:srgbClr w14:val="000000">
                                    <w14:alpha w14:val="50000"/>
                                  </w14:srgbClr>
                                </w14:solidFill>
                              </w14:textFill>
                            </w:rPr>
                          </w:pPr>
                          <w:r w:rsidRPr="002C4EB3">
                            <w:rPr>
                              <w:rFonts w:ascii="Aptos" w:eastAsia="Aptos" w:hAnsi="Aptos" w:cs="Aptos"/>
                              <w:noProof/>
                              <w:color w:val="000000"/>
                              <w14:textFill>
                                <w14:solidFill>
                                  <w14:srgbClr w14:val="000000">
                                    <w14:alpha w14:val="50000"/>
                                  </w14:srgbClr>
                                </w14:solidFill>
                              </w14:textFill>
                            </w:rPr>
                            <w:t xml:space="preserve">Información Confidencial </w:t>
                          </w:r>
                        </w:p>
                        <w:p w14:paraId="752933A8" w14:textId="44A03BDB" w:rsidR="002C4EB3" w:rsidRPr="002C4EB3" w:rsidRDefault="002C4EB3" w:rsidP="002C4EB3">
                          <w:pPr>
                            <w:spacing w:after="0"/>
                            <w:rPr>
                              <w:rFonts w:ascii="Aptos" w:eastAsia="Aptos" w:hAnsi="Aptos" w:cs="Aptos"/>
                              <w:noProof/>
                              <w:color w:val="000000"/>
                              <w14:textFill>
                                <w14:solidFill>
                                  <w14:srgbClr w14:val="000000">
                                    <w14:alpha w14:val="50000"/>
                                  </w14:srgbClr>
                                </w14:solidFill>
                              </w14:textFill>
                            </w:rPr>
                          </w:pPr>
                          <w:r w:rsidRPr="002C4EB3">
                            <w:rPr>
                              <w:rFonts w:ascii="Aptos" w:eastAsia="Aptos" w:hAnsi="Aptos" w:cs="Aptos"/>
                              <w:noProof/>
                              <w:color w:val="000000"/>
                              <w14:textFill>
                                <w14:solidFill>
                                  <w14:srgbClr w14:val="000000">
                                    <w14:alpha w14:val="50000"/>
                                  </w14:srgbClr>
                                </w14:solidFill>
                              </w14:textFill>
                            </w:rPr>
                            <w:t>DS-BARRANQUILLA</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755A1392" id="_x0000_t202" coordsize="21600,21600" o:spt="202" path="m,l,21600r21600,l21600,xe">
              <v:stroke joinstyle="miter"/>
              <v:path gradientshapeok="t" o:connecttype="rect"/>
            </v:shapetype>
            <v:shape id="Cuadro de texto 1" o:spid="_x0000_s1027" type="#_x0000_t202" alt="Información Confidencial &#10;DS-BARRANQUILLA" style="position:absolute;margin-left:0;margin-top:0;width:131.6pt;height:33.95pt;rotation:-45;z-index:-251658240;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" filled="f" stroked="f">
              <v:fill o:detectmouseclick="t"/>
              <v:textbox style="mso-fit-shape-to-text:t" inset="0,0,0,0">
                <w:txbxContent>
                  <w:p w14:paraId="17A2338C" w14:textId="77777777" w:rsidR="002C4EB3" w:rsidRPr="002C4EB3" w:rsidRDefault="002C4EB3" w:rsidP="002C4EB3">
                    <w:pPr>
                      <w:spacing w:after="0"/>
                      <w:rPr>
                        <w:rFonts w:ascii="Aptos" w:eastAsia="Aptos" w:hAnsi="Aptos" w:cs="Aptos"/>
                        <w:noProof/>
                        <w:color w:val="000000"/>
                        <w14:textFill>
                          <w14:solidFill>
                            <w14:srgbClr w14:val="000000">
                              <w14:alpha w14:val="50000"/>
                            </w14:srgbClr>
                          </w14:solidFill>
                        </w14:textFill>
                      </w:rPr>
                    </w:pPr>
                    <w:r w:rsidRPr="002C4EB3">
                      <w:rPr>
                        <w:rFonts w:ascii="Aptos" w:eastAsia="Aptos" w:hAnsi="Aptos" w:cs="Aptos"/>
                        <w:noProof/>
                        <w:color w:val="000000"/>
                        <w14:textFill>
                          <w14:solidFill>
                            <w14:srgbClr w14:val="000000">
                              <w14:alpha w14:val="50000"/>
                            </w14:srgbClr>
                          </w14:solidFill>
                        </w14:textFill>
                      </w:rPr>
                      <w:t xml:space="preserve">Información Confidencial </w:t>
                    </w:r>
                  </w:p>
                  <w:p w14:paraId="752933A8" w14:textId="44A03BDB" w:rsidR="002C4EB3" w:rsidRPr="002C4EB3" w:rsidRDefault="002C4EB3" w:rsidP="002C4EB3">
                    <w:pPr>
                      <w:spacing w:after="0"/>
                      <w:rPr>
                        <w:rFonts w:ascii="Aptos" w:eastAsia="Aptos" w:hAnsi="Aptos" w:cs="Aptos"/>
                        <w:noProof/>
                        <w:color w:val="000000"/>
                        <w14:textFill>
                          <w14:solidFill>
                            <w14:srgbClr w14:val="000000">
                              <w14:alpha w14:val="50000"/>
                            </w14:srgbClr>
                          </w14:solidFill>
                        </w14:textFill>
                      </w:rPr>
                    </w:pPr>
                    <w:r w:rsidRPr="002C4EB3">
                      <w:rPr>
                        <w:rFonts w:ascii="Aptos" w:eastAsia="Aptos" w:hAnsi="Aptos" w:cs="Aptos"/>
                        <w:noProof/>
                        <w:color w:val="000000"/>
                        <w14:textFill>
                          <w14:solidFill>
                            <w14:srgbClr w14:val="000000">
                              <w14:alpha w14:val="50000"/>
                            </w14:srgbClr>
                          </w14:solidFill>
                        </w14:textFill>
                      </w:rPr>
                      <w:t>DS-BARRANQUILLA</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132C"/>
    <w:multiLevelType w:val="multilevel"/>
    <w:tmpl w:val="665A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94D7F"/>
    <w:multiLevelType w:val="multilevel"/>
    <w:tmpl w:val="6868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90799"/>
    <w:multiLevelType w:val="multilevel"/>
    <w:tmpl w:val="4466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50572"/>
    <w:multiLevelType w:val="multilevel"/>
    <w:tmpl w:val="528A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F644B"/>
    <w:multiLevelType w:val="multilevel"/>
    <w:tmpl w:val="B630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F2CA4"/>
    <w:multiLevelType w:val="multilevel"/>
    <w:tmpl w:val="7692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4809FB"/>
    <w:multiLevelType w:val="multilevel"/>
    <w:tmpl w:val="03D8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5D2F4F"/>
    <w:multiLevelType w:val="multilevel"/>
    <w:tmpl w:val="39B4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784455"/>
    <w:multiLevelType w:val="multilevel"/>
    <w:tmpl w:val="63E6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E42C1"/>
    <w:multiLevelType w:val="multilevel"/>
    <w:tmpl w:val="6402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5908CB"/>
    <w:multiLevelType w:val="multilevel"/>
    <w:tmpl w:val="0814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965F32"/>
    <w:multiLevelType w:val="multilevel"/>
    <w:tmpl w:val="7486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9A03F3"/>
    <w:multiLevelType w:val="multilevel"/>
    <w:tmpl w:val="7AAE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683584">
    <w:abstractNumId w:val="7"/>
  </w:num>
  <w:num w:numId="2" w16cid:durableId="1005981515">
    <w:abstractNumId w:val="3"/>
  </w:num>
  <w:num w:numId="3" w16cid:durableId="576718123">
    <w:abstractNumId w:val="6"/>
  </w:num>
  <w:num w:numId="4" w16cid:durableId="1851601540">
    <w:abstractNumId w:val="10"/>
  </w:num>
  <w:num w:numId="5" w16cid:durableId="324206632">
    <w:abstractNumId w:val="5"/>
  </w:num>
  <w:num w:numId="6" w16cid:durableId="566183650">
    <w:abstractNumId w:val="2"/>
  </w:num>
  <w:num w:numId="7" w16cid:durableId="195656124">
    <w:abstractNumId w:val="12"/>
  </w:num>
  <w:num w:numId="8" w16cid:durableId="685136899">
    <w:abstractNumId w:val="11"/>
  </w:num>
  <w:num w:numId="9" w16cid:durableId="1883521667">
    <w:abstractNumId w:val="4"/>
  </w:num>
  <w:num w:numId="10" w16cid:durableId="119808297">
    <w:abstractNumId w:val="9"/>
  </w:num>
  <w:num w:numId="11" w16cid:durableId="1496263519">
    <w:abstractNumId w:val="8"/>
  </w:num>
  <w:num w:numId="12" w16cid:durableId="1012149861">
    <w:abstractNumId w:val="1"/>
  </w:num>
  <w:num w:numId="13" w16cid:durableId="754207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EB3"/>
    <w:rsid w:val="00006FE1"/>
    <w:rsid w:val="0012694D"/>
    <w:rsid w:val="002C4EB3"/>
    <w:rsid w:val="005E5243"/>
    <w:rsid w:val="00842692"/>
    <w:rsid w:val="00A61748"/>
    <w:rsid w:val="00C04F63"/>
    <w:rsid w:val="00C82D77"/>
    <w:rsid w:val="00E47A9C"/>
    <w:rsid w:val="00F81E3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42F1E"/>
  <w15:chartTrackingRefBased/>
  <w15:docId w15:val="{470EFE21-6B93-4F1E-9C32-690686225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C4E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C4E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C4E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C4E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C4E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C4E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4E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4E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4E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4E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C4E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C4E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C4E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C4E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C4E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4E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4E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4EB3"/>
    <w:rPr>
      <w:rFonts w:eastAsiaTheme="majorEastAsia" w:cstheme="majorBidi"/>
      <w:color w:val="272727" w:themeColor="text1" w:themeTint="D8"/>
    </w:rPr>
  </w:style>
  <w:style w:type="paragraph" w:styleId="Ttulo">
    <w:name w:val="Title"/>
    <w:basedOn w:val="Normal"/>
    <w:next w:val="Normal"/>
    <w:link w:val="TtuloCar"/>
    <w:uiPriority w:val="10"/>
    <w:qFormat/>
    <w:rsid w:val="002C4E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4E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4E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4E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4EB3"/>
    <w:pPr>
      <w:spacing w:before="160"/>
      <w:jc w:val="center"/>
    </w:pPr>
    <w:rPr>
      <w:i/>
      <w:iCs/>
      <w:color w:val="404040" w:themeColor="text1" w:themeTint="BF"/>
    </w:rPr>
  </w:style>
  <w:style w:type="character" w:customStyle="1" w:styleId="CitaCar">
    <w:name w:val="Cita Car"/>
    <w:basedOn w:val="Fuentedeprrafopredeter"/>
    <w:link w:val="Cita"/>
    <w:uiPriority w:val="29"/>
    <w:rsid w:val="002C4EB3"/>
    <w:rPr>
      <w:i/>
      <w:iCs/>
      <w:color w:val="404040" w:themeColor="text1" w:themeTint="BF"/>
    </w:rPr>
  </w:style>
  <w:style w:type="paragraph" w:styleId="Prrafodelista">
    <w:name w:val="List Paragraph"/>
    <w:basedOn w:val="Normal"/>
    <w:uiPriority w:val="34"/>
    <w:qFormat/>
    <w:rsid w:val="002C4EB3"/>
    <w:pPr>
      <w:ind w:left="720"/>
      <w:contextualSpacing/>
    </w:pPr>
  </w:style>
  <w:style w:type="character" w:styleId="nfasisintenso">
    <w:name w:val="Intense Emphasis"/>
    <w:basedOn w:val="Fuentedeprrafopredeter"/>
    <w:uiPriority w:val="21"/>
    <w:qFormat/>
    <w:rsid w:val="002C4EB3"/>
    <w:rPr>
      <w:i/>
      <w:iCs/>
      <w:color w:val="0F4761" w:themeColor="accent1" w:themeShade="BF"/>
    </w:rPr>
  </w:style>
  <w:style w:type="paragraph" w:styleId="Citadestacada">
    <w:name w:val="Intense Quote"/>
    <w:basedOn w:val="Normal"/>
    <w:next w:val="Normal"/>
    <w:link w:val="CitadestacadaCar"/>
    <w:uiPriority w:val="30"/>
    <w:qFormat/>
    <w:rsid w:val="002C4E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4EB3"/>
    <w:rPr>
      <w:i/>
      <w:iCs/>
      <w:color w:val="0F4761" w:themeColor="accent1" w:themeShade="BF"/>
    </w:rPr>
  </w:style>
  <w:style w:type="character" w:styleId="Referenciaintensa">
    <w:name w:val="Intense Reference"/>
    <w:basedOn w:val="Fuentedeprrafopredeter"/>
    <w:uiPriority w:val="32"/>
    <w:qFormat/>
    <w:rsid w:val="002C4EB3"/>
    <w:rPr>
      <w:b/>
      <w:bCs/>
      <w:smallCaps/>
      <w:color w:val="0F4761" w:themeColor="accent1" w:themeShade="BF"/>
      <w:spacing w:val="5"/>
    </w:rPr>
  </w:style>
  <w:style w:type="paragraph" w:styleId="Encabezado">
    <w:name w:val="header"/>
    <w:basedOn w:val="Normal"/>
    <w:link w:val="EncabezadoCar"/>
    <w:uiPriority w:val="99"/>
    <w:unhideWhenUsed/>
    <w:rsid w:val="002C4EB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C4EB3"/>
  </w:style>
  <w:style w:type="paragraph" w:styleId="Piedepgina">
    <w:name w:val="footer"/>
    <w:basedOn w:val="Normal"/>
    <w:link w:val="PiedepginaCar"/>
    <w:uiPriority w:val="99"/>
    <w:unhideWhenUsed/>
    <w:rsid w:val="0012694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69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3379</Words>
  <Characters>19637</Characters>
  <Application>Microsoft Office Word</Application>
  <DocSecurity>0</DocSecurity>
  <Lines>436</Lines>
  <Paragraphs>179</Paragraphs>
  <ScaleCrop>false</ScaleCrop>
  <Company/>
  <LinksUpToDate>false</LinksUpToDate>
  <CharactersWithSpaces>22837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ORTIZ</dc:creator>
  <cp:keywords/>
  <dc:description/>
  <cp:lastModifiedBy>EDWIN ORTIZ</cp:lastModifiedBy>
  <cp:revision>2</cp:revision>
  <dcterms:created xsi:type="dcterms:W3CDTF">2026-03-31T20:18:00Z</dcterms:created>
  <dcterms:modified xsi:type="dcterms:W3CDTF">2026-03-31T20:25:00Z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WatermarkShapeIds">
    <vt:lpwstr>238803a1,7298485e,2a263c63</vt:lpwstr>
  </property>
  <property fmtid="{D5CDD505-2E9C-101B-9397-08002B2CF9AE}" pid="3" name="ClassificationWatermarkFontProps">
    <vt:lpwstr>#000000,12,Aptos</vt:lpwstr>
  </property>
  <property fmtid="{D5CDD505-2E9C-101B-9397-08002B2CF9AE}" pid="4" name="ClassificationWatermarkText">
    <vt:lpwstr>Información Confidencial 
DS-BARRANQUILLA</vt:lpwstr>
  </property>
  <property fmtid="{D5CDD505-2E9C-101B-9397-08002B2CF9AE}" pid="5" name="MSIP_Label_4b161717-2c60-4f33-889e-461dcad0e5da_Enabled">
    <vt:lpwstr>true</vt:lpwstr>
  </property>
  <property fmtid="{D5CDD505-2E9C-101B-9397-08002B2CF9AE}" pid="6" name="MSIP_Label_4b161717-2c60-4f33-889e-461dcad0e5da_SetDate">
    <vt:lpwstr>2026-03-31T20:25:15Z</vt:lpwstr>
  </property>
  <property fmtid="{D5CDD505-2E9C-101B-9397-08002B2CF9AE}" pid="7" name="MSIP_Label_4b161717-2c60-4f33-889e-461dcad0e5da_Method">
    <vt:lpwstr>Standard</vt:lpwstr>
  </property>
  <property fmtid="{D5CDD505-2E9C-101B-9397-08002B2CF9AE}" pid="8" name="MSIP_Label_4b161717-2c60-4f33-889e-461dcad0e5da_Name">
    <vt:lpwstr>Confidencial</vt:lpwstr>
  </property>
  <property fmtid="{D5CDD505-2E9C-101B-9397-08002B2CF9AE}" pid="9" name="MSIP_Label_4b161717-2c60-4f33-889e-461dcad0e5da_SiteId">
    <vt:lpwstr>d065e67d-8e26-4632-a114-1caaf9422f02</vt:lpwstr>
  </property>
  <property fmtid="{D5CDD505-2E9C-101B-9397-08002B2CF9AE}" pid="10" name="MSIP_Label_4b161717-2c60-4f33-889e-461dcad0e5da_ActionId">
    <vt:lpwstr>a66344cc-deeb-4b00-a633-3fbc4803afcc</vt:lpwstr>
  </property>
  <property fmtid="{D5CDD505-2E9C-101B-9397-08002B2CF9AE}" pid="11" name="MSIP_Label_4b161717-2c60-4f33-889e-461dcad0e5da_ContentBits">
    <vt:lpwstr>4</vt:lpwstr>
  </property>
  <property fmtid="{D5CDD505-2E9C-101B-9397-08002B2CF9AE}" pid="12" name="MSIP_Label_4b161717-2c60-4f33-889e-461dcad0e5da_Tag">
    <vt:lpwstr>10, 3, 0, 1</vt:lpwstr>
  </property>
</Properties>
</file>