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667085"/>
          <w:sz w:val="16"/>
        </w:rPr>
        <w:t>01 / 20  |  CV BROCHURE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istopher-ava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b/>
          <w:color w:val="10233F"/>
          <w:sz w:val="48"/>
        </w:rPr>
        <w:t>Dr Christopher Appiah-Thompson</w:t>
      </w:r>
    </w:p>
    <w:p>
      <w:r>
        <w:rPr>
          <w:rFonts w:ascii="Calibri" w:hAnsi="Calibri"/>
          <w:b/>
          <w:color w:val="315F84"/>
          <w:sz w:val="24"/>
        </w:rPr>
        <w:t>A classic portfolio of scholarship, social justice consultancy, digital product work and humane care innovation.</w:t>
      </w:r>
    </w:p>
    <w:p>
      <w:r>
        <w:rPr>
          <w:rFonts w:ascii="Calibri" w:hAnsi="Calibri"/>
          <w:b w:val="0"/>
          <w:color w:val="20242A"/>
          <w:sz w:val="21"/>
        </w:rPr>
        <w:t>Founder of World Class Scholars and multidisciplinary practitioner connecting academic research, frontline care, creative storytelling and practical digital systems.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Global consultancy in disability, mental health and dementia care.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Research-informed training, micro-credentials and care-sector learning pathways.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Digital portfolio spanning iOS, web platforms, podcasts, AI art and ethical marketing.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02 / 20  |  PROFILE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Professional Identity</w:t>
      </w:r>
    </w:p>
    <w:p>
      <w:r>
        <w:rPr>
          <w:rFonts w:ascii="Calibri" w:hAnsi="Calibri"/>
          <w:b w:val="0"/>
          <w:color w:val="20242A"/>
          <w:sz w:val="21"/>
        </w:rPr>
        <w:t>Christopher’s public profile presents a scholar-practitioner whose work joins social justice, care systems, technology and culture.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Founder, World Class Scholars, a global consultancy championing equity, dignity and social justice in care.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Public LinkedIn profile lists 1K followers, 500+ connections and service offerings in project management, political consulting, healthcare consulting and non-profit consulting.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Professional base: Callaghan, New South Wales, Australia.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Core language of practice: research, lived experience, co-design, trauma-aware communication and inclusive policy.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03 / 20  |  CONTENTS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Brochure Roadmap</w:t>
      </w:r>
    </w:p>
    <w:p>
      <w:r>
        <w:rPr>
          <w:rFonts w:ascii="Calibri" w:hAnsi="Calibri"/>
          <w:b w:val="0"/>
          <w:color w:val="20242A"/>
          <w:sz w:val="21"/>
        </w:rPr>
        <w:t>This 20-page CV brochure is designed as an elegant leave-behind for academic, consultancy, care-sector and digital-product opportunities.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Pages 3-6: qualifications, research background and publications.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Pages 7-10: consultancy, teaching, care practice and leadership experience.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Pages 11-15: digital portfolio, apps, platforms, podcasts, marketing and creative production.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Pages 16-20: memberships, awards, impact themes, contact details and source notes.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04 / 20  |  ACADEMIC QUALIFICATIONS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Education &amp; Formal Study</w:t>
      </w:r>
    </w:p>
    <w:p>
      <w:r>
        <w:rPr>
          <w:rFonts w:ascii="Calibri" w:hAnsi="Calibri"/>
          <w:b w:val="0"/>
          <w:color w:val="20242A"/>
          <w:sz w:val="21"/>
        </w:rPr>
        <w:t>Confirmed public records show a strong pathway through political science, governance, social research and community services.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Doctor of Philosophy, University of Newcastle, Faculty of Business and Law, listed in public portfolio as January 2017 to October 2021.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Master of Philosophy, University of Bergen, listed as January 2011 to July 2012.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Bachelor of Arts, First Class Honours, University of Ghana, Legon-Accra, listed as January 2005 to May 2009.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Diploma of Community Services, TAFE NSW, listed as January 2025 to July 2025.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Additional public education entries appear on LinkedIn with incomplete institution labels and dates; these are flagged for verification rather than overclaimed.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05 / 20  |  RESEARCH AREAS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Scholarship &amp; Intellectual Agenda</w:t>
      </w:r>
    </w:p>
    <w:p>
      <w:r>
        <w:rPr>
          <w:rFonts w:ascii="Calibri" w:hAnsi="Calibri"/>
          <w:b w:val="0"/>
          <w:color w:val="20242A"/>
          <w:sz w:val="21"/>
        </w:rPr>
        <w:t>The research profile moves between African politics, peace and conflict studies, religion, electoral integrity, care ethics and the healing potential of creative arts.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Political science and international relations, with work on African democracy, electoral disputes and judicial politics.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Peace, conflict and conflict transformation in African religious philosophy.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Care-sector research on dementia, chronic depression, trauma-informed care and non-pharmacological creative interventions.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Contemporary interests include global AI governance, digital learning systems and humane service design.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06 / 20  |  PUBLICATIONS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Selected Peer-Reviewed Work</w:t>
      </w:r>
    </w:p>
    <w:p>
      <w:r>
        <w:rPr>
          <w:rFonts w:ascii="Calibri" w:hAnsi="Calibri"/>
          <w:b w:val="0"/>
          <w:color w:val="20242A"/>
          <w:sz w:val="21"/>
        </w:rPr>
        <w:t>Public LinkedIn records list three selected publications across African politics, peace education and judicial politics.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“Adjudicating electoral disputes or judicialising politics? The Supreme Court of Ghana and the disputed 2012 presidential election in perspective,” The Round Table, 17 December 2021.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“The concept of peace, conflict and conflict transformation in African religious philosophy,” Journal of Peace Education, 6 November 2019.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“Electoral politics and democracy in Africa: A critical review of Lindberg’s thesis,” International Area Studies Review, 19 December 2017.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The publication profile supports consultancy work in governance, policy, civic trust and institutional legitimacy.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07 / 20  |  PROFESSIONAL EXPERIENCE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Academic, Research &amp; Communications Roles</w:t>
      </w:r>
    </w:p>
    <w:p>
      <w:r>
        <w:rPr>
          <w:rFonts w:ascii="Calibri" w:hAnsi="Calibri"/>
          <w:b w:val="0"/>
          <w:color w:val="20242A"/>
          <w:sz w:val="21"/>
        </w:rPr>
        <w:t>Public portfolio records describe teaching, research administration, communications production and digital marketing responsibilities.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Digital Marketing Specialist &amp; Communications Producer, World Class Scholars, listed from July 2025 to present.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Podcast Host &amp; Producer, World Class Scholars, listed from July 2025 to present.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Casual Academic in Politics and International Relations, University of Newcastle, Faculty of Business and Law, listed February 2021 to December 2022.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Research Administrator, University College of Communications, listed January 2015 to January 2017.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08 / 20  |  TEACHING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Learning Design &amp; Academic Practice</w:t>
      </w:r>
    </w:p>
    <w:p>
      <w:r>
        <w:rPr>
          <w:rFonts w:ascii="Calibri" w:hAnsi="Calibri"/>
          <w:b w:val="0"/>
          <w:color w:val="20242A"/>
          <w:sz w:val="21"/>
        </w:rPr>
        <w:t>The teaching profile is strongest where complex governance, policy and international relations topics need to become accessible to learners.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Tutored undergraduate students in politics and international relations.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Developed lecture materials and facilitated student discussion on policy, governance and research topics.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Designs online courses, micro-credentials and bespoke workshops for care and community-service leaders.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Uses a learner-centred approach informed by research, practice, dignity and accessibility.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09 / 20  |  CONSULTANCY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World Class Scholars</w:t>
      </w:r>
    </w:p>
    <w:p>
      <w:r>
        <w:rPr>
          <w:rFonts w:ascii="Calibri" w:hAnsi="Calibri"/>
          <w:b w:val="0"/>
          <w:color w:val="20242A"/>
          <w:sz w:val="21"/>
        </w:rPr>
        <w:t>World Class Scholars is presented publicly as a global consultancy in disability, mental health and dementia care, with a practical focus on humane systems.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Advises government, NGOs and aged-care providers on policy, standards and co-design processes.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Centres human rights, lived experience, trauma-aware communication and inclusive service design.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Builds learning pathways for care workers, leaders, families and community organisations.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Combines consultancy, advocacy, education, digital campaigns and creative media.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10 / 20  |  CARE INNOVATION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Dementia, Mental Health &amp; Creative Arts</w:t>
      </w:r>
    </w:p>
    <w:p>
      <w:r>
        <w:rPr>
          <w:rFonts w:ascii="Calibri" w:hAnsi="Calibri"/>
          <w:b w:val="0"/>
          <w:color w:val="20242A"/>
          <w:sz w:val="21"/>
        </w:rPr>
        <w:t>A 2025 public project explores visual and literary arts as healing strategies for people living with dementia.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Research focus: visual art, poems and memory narratives as non-pharmacological supports for chronic depression and traumatic conditions.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Emphasises self-esteem, dignity, confidence and quality of life through meaningful creative participation.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Recognises carers as partners in therapeutic relationships and trauma-informed support.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Connects cultural memory, family, work, ageing, death and identity through expressive arts.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11 / 20  |  DIGITAL PORTFOLIO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Technical &amp; Product Capabilities</w:t>
      </w:r>
    </w:p>
    <w:p>
      <w:r>
        <w:rPr>
          <w:rFonts w:ascii="Calibri" w:hAnsi="Calibri"/>
          <w:b w:val="0"/>
          <w:color w:val="20242A"/>
          <w:sz w:val="21"/>
        </w:rPr>
        <w:t>The digital portfolio positions Christopher as a founder and multidisciplinary digital professional across mobile, web, content and platform systems.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Technical stack listed publicly: SwiftUI, Firebase, TestFlight workflows, React, Node.js, Python and modern content systems.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Portfolio capabilities include iOS application development, web development, communications strategy, podcast production and service design.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World Class Scholars site includes public routes for library search, courses, podcasts, digital marketing, digital advertising, apps, contact and account access.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The platform model combines member access, subscriptions, analytics, content publishing and public engagement.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12 / 20  |  IOS &amp; APP STORE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Apps, TestFlight &amp; Commerce</w:t>
      </w:r>
    </w:p>
    <w:p>
      <w:r>
        <w:rPr>
          <w:rFonts w:ascii="Calibri" w:hAnsi="Calibri"/>
          <w:b w:val="0"/>
          <w:color w:val="20242A"/>
          <w:sz w:val="21"/>
        </w:rPr>
        <w:t>World Class Scholars presents an iOS-first digital direction with TestFlight beta pathways, App Store discovery and subscription/commerce concepts.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Public site metadata references TestFlight iOS apps and App Store subscriptions.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App concepts surfaced in the public bundle include WCS Commerce, WCS Agentic and WCS Gold Test.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Product examples include premium membership, AI tutor credit packs and specialist tool unlocks.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The product story is strongest when framed as accessible learning and care-sector tooling rather than technology for its own sake.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13 / 20  |  AI &amp; FUTURE LEARNING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FutureLab, AI Art &amp; Learning Systems</w:t>
      </w:r>
    </w:p>
    <w:p>
      <w:r>
        <w:rPr>
          <w:rFonts w:ascii="Calibri" w:hAnsi="Calibri"/>
          <w:b w:val="0"/>
          <w:color w:val="20242A"/>
          <w:sz w:val="21"/>
        </w:rPr>
        <w:t>Public posts describe World Class Scholars FutureLab as a research-driven gallery and lab at the intersection of AI, sci-fi art and learning.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FutureLab themes include neural landscapes, speculative visual narratives, motion studies and future literacies.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WCS Art Verse is presented as a digital gallery for student artwork and curated collections.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Digital art channels include NightCafe and Gumroad creative outputs.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The broader portfolio uses AI as a learning, storytelling and impact-amplification tool.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14 / 20  |  PODCASTS &amp; MEDIA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Audio, Storytelling &amp; Public Scholarship</w:t>
      </w:r>
    </w:p>
    <w:p>
      <w:r>
        <w:rPr>
          <w:rFonts w:ascii="Calibri" w:hAnsi="Calibri"/>
          <w:b w:val="0"/>
          <w:color w:val="20242A"/>
          <w:sz w:val="21"/>
        </w:rPr>
        <w:t>The public site and profile list multiple podcast and media projects that translate research and culture for broader audiences.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Heartbeats Beyond Memory — Creative Care in Dementia: humane practice, storytelling and community-centred care.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Decoding the Signs and Symbols of Freemasonry in the 21st Century: history, symbolism and contemporary interpretation.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Art, Culture and Philosophies of Tattoos: body art, identity, art history and cultural philosophy.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Production scope includes planning, scripting, hosting, editing, distribution and digital promotion.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15 / 20  |  DIGITAL MARKETING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Campaigns, Content &amp; Brand Systems</w:t>
      </w:r>
    </w:p>
    <w:p>
      <w:r>
        <w:rPr>
          <w:rFonts w:ascii="Calibri" w:hAnsi="Calibri"/>
          <w:b w:val="0"/>
          <w:color w:val="20242A"/>
          <w:sz w:val="21"/>
        </w:rPr>
        <w:t>Public portfolio records describe communications campaigns across social media, email and digital platforms.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Plans and executes multi-channel communications campaigns to raise organisational profile and reach target audiences.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Manages paid advertising with data-driven optimisation for traffic, leads and conversions.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LinkedIn posts describe AI-enabled tourism marketing using frameworks such as 7Ps, PESTLE, STP, pricing, content and personalisation.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World Class Scholars platform includes digital marketing and digital advertising routes with analytics and referral logic.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16 / 20  |  HONOURS &amp; AWARDS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Awards, Scholarships &amp; Recognition</w:t>
      </w:r>
    </w:p>
    <w:p>
      <w:r>
        <w:rPr>
          <w:rFonts w:ascii="Calibri" w:hAnsi="Calibri"/>
          <w:b w:val="0"/>
          <w:color w:val="20242A"/>
          <w:sz w:val="21"/>
        </w:rPr>
        <w:t>The public LinkedIn profile lists academic travel awards and scholarships across Australia, the UK, Scandinavia and African studies contexts.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PhD Travel Award Scheme, Australian Political Science Association, July 2019.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Santander Academic Travel Research Award, Santander Bank UK, June 2014.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Nordic African Institute Study Scholarship, March 2012.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Norwegian Quota Program Scholarship, Department of Administration and Organisation Theory, August 2010.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Eni &amp; St Antony’s College Scholarship, listed publicly with incomplete date details.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17 / 20  |  MEMBERSHIPS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Professional &amp; Research Networks</w:t>
      </w:r>
    </w:p>
    <w:p>
      <w:r>
        <w:rPr>
          <w:rFonts w:ascii="Calibri" w:hAnsi="Calibri"/>
          <w:b w:val="0"/>
          <w:color w:val="20242A"/>
          <w:sz w:val="21"/>
        </w:rPr>
        <w:t>The professional memberships reinforce a globally networked research identity across political science, African studies, religion and peace research.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Electoral Integrity Project, listed December 2022 to present.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Varieties of Peace Research Network, listed February 2020 to present.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Australian Association for the Study of Religion; Portuguese Political Science Association; Canadian Association of African Studies.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International Studies Association; Australian Political Science Association; American Political Science Association.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International Political Science Association; European Consortium for Political Research.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18 / 20  |  SERVICES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What Christopher Offers</w:t>
      </w:r>
    </w:p>
    <w:p>
      <w:r>
        <w:rPr>
          <w:rFonts w:ascii="Calibri" w:hAnsi="Calibri"/>
          <w:b w:val="0"/>
          <w:color w:val="20242A"/>
          <w:sz w:val="21"/>
        </w:rPr>
        <w:t>The offer is strongest as an integrated package: scholarly credibility, ethical care practice, digital delivery and human-centred communications.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Policy and service-design consulting for disability, mental health, dementia care and community services.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Learning design for online courses, micro-credentials, workshops and professional development.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Digital product strategy for accessible apps, member platforms, content systems and AI-enabled learning tools.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Brand storytelling, podcast production, public scholarship and ethical digital marketing for purpose-driven organisations.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19 / 20  |  STRATEGIC POSITIONING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Impact Themes</w:t>
      </w:r>
    </w:p>
    <w:p>
      <w:r>
        <w:rPr>
          <w:rFonts w:ascii="Calibri" w:hAnsi="Calibri"/>
          <w:b w:val="0"/>
          <w:color w:val="20242A"/>
          <w:sz w:val="21"/>
        </w:rPr>
        <w:t>A cohesive CV narrative emerges around dignity: dignity in public institutions, care relationships, learning environments and digital systems.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Equity and social justice: translating scholarship into humane institutional practice.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Care-sector transformation: combining lived experience, trauma awareness and creative engagement.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Digital inclusion: building systems that are accessible, scalable and useful to real communities.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Public scholarship: turning research into podcasts, courses, galleries and tools that travel beyond the academy.</w:t>
      </w:r>
    </w:p>
    <w:p>
      <w:r>
        <w:br w:type="page"/>
      </w:r>
    </w:p>
    <w:p>
      <w:pPr>
        <w:jc w:val="right"/>
      </w:pPr>
      <w:r>
        <w:rPr>
          <w:rFonts w:ascii="Calibri" w:hAnsi="Calibri"/>
          <w:b/>
          <w:color w:val="667085"/>
          <w:sz w:val="16"/>
        </w:rPr>
        <w:t>20 / 20  |  CONTACT &amp; VERIFICATION</w:t>
      </w:r>
    </w:p>
    <w:p>
      <w:pPr>
        <w:spacing w:after="160"/>
      </w:pPr>
      <w:r>
        <w:rPr>
          <w:rFonts w:ascii="Calibri" w:hAnsi="Calibri"/>
          <w:b/>
          <w:color w:val="10233F"/>
          <w:sz w:val="40"/>
        </w:rPr>
        <w:t>Contact, Portfolio Links &amp; Source Notes</w:t>
      </w:r>
    </w:p>
    <w:p>
      <w:r>
        <w:rPr>
          <w:rFonts w:ascii="Calibri" w:hAnsi="Calibri"/>
          <w:b w:val="0"/>
          <w:color w:val="20242A"/>
          <w:sz w:val="21"/>
        </w:rPr>
        <w:t>This brochure was prepared from public web, LinkedIn and portfolio material available on 3 June 2026.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Email: christopher.appiahthompson@myworldclass.org | Personal email: chrsappiah@gmail.com | Phone: 0403138328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Portfolio: christopherappiahthompson.link | World Class Scholars: worldclassscholars.vercel.app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LinkedIn: linkedin.com/in/christopher-appiah-thompson-a2014045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Verification note: public records contain incomplete labels and at least one conflicting education date; final employer-facing versions should be reconciled against official certificates and a current CV.</w:t>
      </w:r>
    </w:p>
    <w:p>
      <w:pPr>
        <w:spacing w:after="140"/>
        <w:ind w:left="317" w:hanging="317"/>
      </w:pPr>
      <w:r>
        <w:rPr>
          <w:rFonts w:ascii="Calibri" w:hAnsi="Calibri"/>
          <w:b/>
          <w:color w:val="B89248"/>
          <w:sz w:val="21"/>
        </w:rPr>
        <w:t xml:space="preserve">• </w:t>
      </w:r>
      <w:r>
        <w:rPr>
          <w:rFonts w:ascii="Calibri" w:hAnsi="Calibri"/>
          <w:b w:val="0"/>
          <w:color w:val="20242A"/>
          <w:sz w:val="20"/>
        </w:rPr>
        <w:t>Sources used: Public profile: christopherappiahthompson.link; World Class Scholars site metadata and public app bundle: worldclassscholars.vercel.app; Public LinkedIn profile extract: au.linkedin.com/in/christopher-appiah-thompson-a2014045; Public portfolio listing: twine.net/WorldClass123.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