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WCFS Test Provider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WCFS %</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85%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80%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75%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90%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85%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80%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95%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70%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85%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80%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75%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90%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85%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80%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95%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70% of WCFS</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