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基于行业异质性与核心财务数据内控透视的“税智·心判”合规决策系统深度研判与优化计划书</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宏观税务监管生态演进与系统优化之研判背景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在全球数字税改加速推进与经济合作与发展组织（OECD）双支柱框架全面落地的宏观背景下，我国税务监管体系正经历一场深刻的历史性范式跃迁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。随着“金税四期”工程的全面铺开，以大数据、云计算和人工智能为核心的智慧税务网络已经建立，传统的“以票管税”模式被彻底颠覆，全面迈向“以数治税”的新纪元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这一高透明度的监管生态中，国家税务总局明确要求深化税、警、关、银四部门的联合打击机制，对涉及“假企业、假出口、假报关”的三假骗税行为，以及买单配票、虚构物流、出口业务报关、物流、资金、发票“四流”不一致的行为实施高压专项打击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种严苛的常态化监管下，企业内部的财务数据及其内在勾稽关系成为了税务机关精准锁定风险的“雷达”。国家税务总局发布的《大企业税务风险管理指引（试行）》明确指出，税务风险主要表现为两种形式：其一是企业纳税行为不符合税法规定，导致少缴或未缴税款，从而面临补税、罚款、加收滞纳金及刑罚；其二是企业适用税法不准确，未能充分利用税收优惠政策，导致多缴税款的财务损失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该指引要求企业必须建立覆盖风险评估、日常业务、重大经营事项以及信息沟通的全面税务内控体系，且明确表示，若企业因内控制度欠缺导致在税务机关的内控测试中落入高风险区域，必将引发税务审计风险与合规成本的激增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针对当前命题提出的核心疑点——“不同行业重点关注的数据及财务数据类别和程度不一致，重资产与轻资产行业差异明显，成本费用率高和税负率高代表财务内控有问题”——经过严密的法规溯源与商业逻辑剖析，本报告得出明确研判结论：</w:t>
      </w:r>
      <w:r w:rsidDel="00000000" w:rsidR="00000000" w:rsidRPr="00000000">
        <w:rPr>
          <w:rFonts w:ascii="Google Sans" w:cs="Google Sans" w:eastAsia="Google Sans" w:hAnsi="Google Sans"/>
          <w:b w:val="1"/>
          <w:bCs w:val="1"/>
          <w:color w:val="1f1f1f"/>
          <w:rtl w:val="0"/>
        </w:rPr>
        <w:t xml:space="preserve">必须结合上述行业异质性与核心财务内控指标，对原《“税智·心判”中小民企财税合规决策支持系统》项目计划书进行彻底的底层逻辑重构与功能优化。</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项目计划书虽然创新性地引入了行为经济学模型以应对个人所得税风险，但将所有企业视为同质化实体，忽略了商业模式（轻重资产属性）对财务数据结构的决定性影响，同时也缺失了对“成本费用率”和“税负率”这两个宏观内控评价基准的算法植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。2026德勤税务精英挑战赛的核心评价标准中，“财税场景价值与创新性”占据25%的高额权重，要求参赛作品必须精准捕捉真实且细分的财税痛点，并提供具有显著合规改进效果的解决方案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若系统缺乏对不同行业财务数据异质性的解析能力，不仅会在实际应用中产生海量的假阳性警报，更无法满足赛事对深度专业认知与真实商业价值落地的严苛要求。因此，将行业异质性与关键财务指标融入系统架构，是提升该项目计划书专业壁垒与商业可行性的必然选择。</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行业异质性对涉税数据与内控风险的底层驱动机理</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同商业模式的底层资产结构，直接决定了其财务报表的资源分布与现金流转特征。税务机关在执行纳税评估与风险排查时，早已摒弃了“一刀切”的监管指标，转而针对行业特性设定动态的预警阈值。其中，重资产行业与轻资产高现金流行业的财务数据表征与税务合规痛点存在着天壤之别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重资产行业的财务特征演化与合规红线映射</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重资产模式的核心特征在于公司固定资产占总资产比重极大，该模式广泛存在于电力、通信运营商、交通运输、石油石化、基础化工以及煤炭等具备一定垄断属性或资本密集型特征的行业中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。从财务报表的三表勾稽关系来看，庞大的固定资产投资必然在后续经营周期内转化为规模巨大的折旧与摊销费用。</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这种特殊的资产结构导致了重资产企业在利润结构上呈现出独特的表象：其净利润质量（即经营现金流相对净利润的比值）尤为高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。这是由于巨额的折旧摊销作为非付现成本，在利润表中大幅抵减了当期账面净利润，但并不实际消耗当期的经营活动现金流，从而使得“经营现金流/净利润”的比值长期处于高位，彰显出较高的净利润含金量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。然而，重资产模式的脆弱性在于，为了持续维持生产经营与产能更新，企业必须不断进行高额的资本开支（CAPEX），这种刚性的资本支出会严重侵蚀企业的自由现金流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税务风险管理与内部控制层面，重资产行业的高度特定化财务结构决定了其税务稽查的聚焦点。由于折旧费用直接、合法地抵减企业所得税的应纳税所得额，部分内控体系薄弱的重资产企业极易在资本化与费用化的边界上进行盈余操纵与税务违规。税务机关在针对重资产行业进行纳税评估时，重点核查资产折旧策略的合法性，包括是否违规缩短固定资产折旧年限、是否擅自变更折旧方法（如无合理商业目的将直线法转为加速折旧法），以及是否将本应资本化的重大设备维修改造支出直接计入当期费用。此类行为旨在人为压低当期利润以递延或逃避企业所得税。此外，重资产行业由于供应链冗长、大宗物资采购频繁，若《日常业务税务管理制度》执行不到位，极易在进项税额抵扣环节出现报关、物流、资金、发票“四流不一致”的重大内控事故，甚至卷入复杂的增值税虚开链条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轻资产高现金流行业的财务异动与隐蔽涉税痛点</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重资产行业形成鲜明对照，轻资产行业的固定资产占比极低。传媒、计算机、医疗美容、咨询服务以及新型电子商务等行业，其核心竞争力不再依赖于重型机器设备，而是高度聚焦于无形资产、知识产权（IP）、品牌溢价、数据要素以及高素质的人力资本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。该类行业通常具备极高的自由现金流产生能力与远超传统制造业的毛利率水平。</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正是由于缺乏重资产带来的折旧抵税“天然护盾”，轻资产行业在利润表上往往呈现出高额的应纳税所得额，从而面临着极高的企业所得税与股东个人所得税双重税负挤压压力。在财务内控失灵或主观合规意识淡薄的语境下，轻资产高现金流企业极易滋生极其隐蔽且破坏力巨大的税务合规风险。针对电商、高净值人群等轻资产领域的监管延伸，相关企业必须开展定向风险排查，否则极易触发大数据系统的警报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轻资产行业内控制度崩盘通常表现为两个维度的违规操作。其一，通过虚构业务大肆推高成本费用率。为了抵消高昂的应税利润，企业常常利用关联方网络，虚构技术服务费、咨询费、会议费、市场推广费等难以量化核实的无形劳务合同，购入外部发票进行违规税前扣除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其二，隐性分红与资金体外循环的泛滥。依靠高现金流的流动性优势，企业主频繁通过私户收款隐匿真实营业收入，或者以“备用金”、“个人借款”名义将巨额公户资金转移至个人账户，用于购置房产、豪车或支撑高额日常消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。在缺乏严格的《重大经营事项税务管理制度》约束的轻资产企业中，这种“家企不分”的资金随意划转，不仅构成企业所得税的偷逃税，更会触发极其严厉的20%个人所得税（利息、股息、红利所得）穿透稽查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为了直观展示两种业态在财务表征与税务内控侧重点上的分化，下表对重资产与轻资产模式的涉税数据特征进行了系统性对比：</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行业资产属性分类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核心财务数据特征与比率表象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主要税务内控缺陷表现形式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重点触发的税务稽查指标系统预警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重资产行业</w:t>
            </w:r>
            <w:r w:rsidDel="00000000" w:rsidR="00000000" w:rsidRPr="00000000">
              <w:rPr>
                <w:rFonts w:ascii="Google Sans" w:cs="Google Sans" w:eastAsia="Google Sans" w:hAnsi="Google Sans"/>
                <w:color w:val="1f1f1f"/>
                <w:rtl w:val="0"/>
              </w:rPr>
              <w:t xml:space="preserve"> (如电力、交运、基础化工、石化)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固定资产占比极高；高额折旧摊销；“经营现金流/净利润”比值较高（净利润质量高）；自由现金流受资本开支（CAPEX）严重侵蚀。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资产折旧年限与方法违规调整；重大维修改造支出违规费用化；大宗采购环节的“四流不一致”（物流、资金、发票、报关错位）。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营业成本与固定资产原值比例异常；进项税额变动率与销项税额变动率严重背离；固定资产清理损失率畸高。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轻资产高现金流行业</w:t>
            </w:r>
            <w:r w:rsidDel="00000000" w:rsidR="00000000" w:rsidRPr="00000000">
              <w:rPr>
                <w:rFonts w:ascii="Google Sans" w:cs="Google Sans" w:eastAsia="Google Sans" w:hAnsi="Google Sans"/>
                <w:color w:val="1f1f1f"/>
                <w:rtl w:val="0"/>
              </w:rPr>
              <w:t xml:space="preserve"> (如传媒、IT、医美、电商、咨询)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核心驱动力为无形资产与人力资本；毛利率极高；自由现金流充沛；缺乏折旧抵税效应导致账面利润与所得税负较高。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虚构无形劳务（咨询费、服务费等）以购买发票冲抵利润；公转私频繁导致隐蔽的资金体外循环；股东长期借款不还形成变相分红。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成本费用率严重偏离行业中位数；关联交易收入申报异常；个人所得税隐性分红稽查指标；平台交易日志与资金流不匹配。</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财务内控失效的量化透视：成本费用率与税负率指标解析</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以数治税”的架构下，税务机关的纳税评估与风险控制已不再依赖单一账本的审查，而是构建了涵盖税负率、弹性系数、税收收入变动率、利润率、成本费用率、物耗率、投入产出率、能耗率等多维度的关联预警指标群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。在这张严密的数据网中，</w:t>
      </w:r>
      <w:r w:rsidDel="00000000" w:rsidR="00000000" w:rsidRPr="00000000">
        <w:rPr>
          <w:rFonts w:ascii="Google Sans" w:cs="Google Sans" w:eastAsia="Google Sans" w:hAnsi="Google Sans"/>
          <w:b w:val="1"/>
          <w:bCs w:val="1"/>
          <w:color w:val="1f1f1f"/>
          <w:rtl w:val="0"/>
        </w:rPr>
        <w:t xml:space="preserve">成本费用率</w:t>
      </w:r>
      <w:r w:rsidDel="00000000" w:rsidR="00000000" w:rsidRPr="00000000">
        <w:rPr>
          <w:rFonts w:ascii="Google Sans" w:cs="Google Sans" w:eastAsia="Google Sans" w:hAnsi="Google Sans"/>
          <w:color w:val="1f1f1f"/>
          <w:rtl w:val="0"/>
        </w:rPr>
        <w:t xml:space="preserve">与</w:t>
      </w:r>
      <w:r w:rsidDel="00000000" w:rsidR="00000000" w:rsidRPr="00000000">
        <w:rPr>
          <w:rFonts w:ascii="Google Sans" w:cs="Google Sans" w:eastAsia="Google Sans" w:hAnsi="Google Sans"/>
          <w:b w:val="1"/>
          <w:bCs w:val="1"/>
          <w:color w:val="1f1f1f"/>
          <w:rtl w:val="0"/>
        </w:rPr>
        <w:t xml:space="preserve">税负率</w:t>
      </w:r>
      <w:r w:rsidDel="00000000" w:rsidR="00000000" w:rsidRPr="00000000">
        <w:rPr>
          <w:rFonts w:ascii="Google Sans" w:cs="Google Sans" w:eastAsia="Google Sans" w:hAnsi="Google Sans"/>
          <w:color w:val="1f1f1f"/>
          <w:rtl w:val="0"/>
        </w:rPr>
        <w:t xml:space="preserve">的异常波动，是研判企业内部控制是否存在系统性缺陷、甚至是否存在主观舞弊行为的两个最核心“阵眼”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成本费用率高企与财务内控制度崩盘的逻辑链条</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本费用率（通常指成本与各项费用之和占营业收入的比例）是衡量企业运营效率与成本控制能力的关键标尺。在特定的宏观经济周期内，处于充分竞争市场的同行业企业，其成本费用率应当趋近于一个合理的行业中位数区间。</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一家企业的成本费用率长期畸高，甚至导致企业陷入“营收规模庞大但账面常年微利或亏损”的财务怪圈时，这绝非单纯的经营策略失误，而是在向税务风控系统释放强烈的“财务内控严重缺陷与主观偷逃税款”复合信号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。根据《大企业税务风险管理指引（试行）》的要求，内控制度应确保对税务事项的会计处理符合法律法规，而畸高的成本费用率往往是这一制度彻底崩盘的表征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首先，这种畸高往往源于无孔不入的虚列支出。在前述的轻资产行业中，为了对冲高额利润，财务部门在内部审计缺位的情况下，可能大量列支缺乏真实业务背景的管理费用与销售费用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。税务稽查系统通过关联企业申报数据比对，若发现费用支付对象为隐蔽的关联方，且该交易缺乏合理商业目的，便会基于一般反避税规则（GAAR）将其定性为违规利润转移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其次，它深刻反映了企业发票管理与税前扣除凭证内控制度的彻底断裂。许多中小民企在采购环节受制于“不要票的低价诱惑”，导致大量真实发生的原材料成本或人工成本无法取得合法的发票。为了实现账面平账并降低企业所得税，财务人员被迫通过购买虚假发票或虚构其他费用渠道进行抵充，造成账面的物耗率、能耗率与真实产能发生严重脱节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。国家税务总局在近期部署中明确要求企业必须重点校验企业所得税税前扣除凭证的完整性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。成本费用率的剧烈波动，正是内部凭证获取与审核链条失控的最直观证据。</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税负率偏离、弹性系数失衡与税务合规风险敞口</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税负率（包括增值税税负率与企业所得税税负率）是税务机关进行纳税评估的“红绿灯”，其与税收收入变动率、利润率共同构成了弹性系数监控体系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。增值税税负率（当期应纳增值税额/当期应税销售收入）应在行业标准偏差范围内浮动。</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税收弹性系数出现严重背离时，税务稽查便会如影随形。如果一家企业的销售收入呈现出爆发式的指数级增长，但其增值税税负率却断崖式下降，且系统监测到进项税额变动率远高于销项税额变动率时，风控系统会立刻将其锁定为极高危的异常目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指标的严重背离在逻辑上无法通过正常的商业扩张来解释，其背后往往隐藏着疯狂购入进项发票进行虚假抵扣的违法行为。同样，如果企业长期保持低于行业警戒线的极低税负率，且伴随着频繁的法人变更、对公账户异常巨额资金进出，或是出现“假企业、假出口、假报关”及“四流不一致”的出口退税特征，税务部门将不再局限于单一的纳税评估，而是直接启动跨部门联合打击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值得注意的是，异常偏高的税负率同样代表着财务内控存在严重问题。根据《大企业税务风险管理指引（试行）》的定义，税务风险不仅包含少缴税款的法律制裁风险，同样包含“适用税法不准确，没有用足有关优惠政策，多缴纳了税款”的财务损失风险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高税负率可能意味着企业在日常业务税务管理制度上存在盲区，未能及时识别并适用国家延续的高新技术企业、小微企业等减税降费红利；或者其内部供应链与财务交接管理混乱，导致大量本应合法抵扣的进项发票超期未能认证抵扣。这种由于内部信息与沟通管理制度失效导致的超额税负，实质上极大地削弱了企业的市场竞争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对原“税智·心判”项目计划书的深度技术债务研判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上述对于行业异质性机制与宏观财务内控指标（成本费用率、税负率）的深度理论解析，本报告对用户上传的原始文档《基于智慧税务与行为经济学的“税智·心判”合规决策系统深度研判与研发交互全景报告》及项目计划书进行了系统的诊断比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。研判结果表明，原项目计划书虽在部分微观节点表现卓越，但在宏观架构与行业适配性上存在严重的技术债务，亟须依据官方权威指南进行全面优化。</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原方案的既有技术优势与理论深度保留价值</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在德勤挑战赛“AI智汇 财税创变”的语境下，原方案在底层微观逻辑的刻画上具备极高的保留价值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全面击穿“企税-个税”风险共生机制</w:t>
      </w:r>
      <w:r w:rsidDel="00000000" w:rsidR="00000000" w:rsidRPr="00000000">
        <w:rPr>
          <w:rFonts w:ascii="Google Sans" w:cs="Google Sans" w:eastAsia="Google Sans" w:hAnsi="Google Sans"/>
          <w:color w:val="1f1f1f"/>
          <w:rtl w:val="0"/>
        </w:rPr>
        <w:t xml:space="preserve">：原方案精准洞察了中小企业“家企不分”的沉疴。针对公户资金大额转入私户长期挂账不还、企业出资为投资者购买高价值财产等行为，原系统强制引入了20%个人所得税（利息、股息、红利所得）的穿透计算引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。这一设计彻底弥补了传统单向企税风控的盲点，完美契合了税务机关打击隐蔽资金循环的执法思路。</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行为科学干预模型的前沿融合</w:t>
      </w:r>
      <w:r w:rsidDel="00000000" w:rsidR="00000000" w:rsidRPr="00000000">
        <w:rPr>
          <w:rFonts w:ascii="Google Sans" w:cs="Google Sans" w:eastAsia="Google Sans" w:hAnsi="Google Sans"/>
          <w:color w:val="1f1f1f"/>
          <w:rtl w:val="0"/>
        </w:rPr>
        <w:t xml:space="preserve">：原计划书突破了传统的“恐吓式”预警，深度嵌套了“滑坡框架（Slippery Slope Framework, SSF）”以及“Nudge（助推）、Budge（促动）、Trudge（步履）”三维干预工具包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过精准挂钩《税收征管法》中的无限期追征条款、0.5至5倍偷税罚款以及按日万分之五累加的滞纳金规则，系统构建了极具威慑力的沉浸式全税种违法成本推演模拟器，利用前景理论的损失框架成功重塑了企业主的合规信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高标准的云原生底层基建保障</w:t>
      </w:r>
      <w:r w:rsidDel="00000000" w:rsidR="00000000" w:rsidRPr="00000000">
        <w:rPr>
          <w:rFonts w:ascii="Google Sans" w:cs="Google Sans" w:eastAsia="Google Sans" w:hAnsi="Google Sans"/>
          <w:color w:val="1f1f1f"/>
          <w:rtl w:val="0"/>
        </w:rPr>
        <w:t xml:space="preserve">：为了确保在公网环境演示的安全性与绝对精度，原系统彻底抛弃了容易产生截断误差的浮点数运算，强制使用PostgreSQL的NUMERIC(15,2)数据类型；同时集成了GitHub Actions的CI/CD自动化测试网络与动态数据掩码（DDM）中间件，完美响应了赛事对于数据脱敏与高可用性部署的硬性指标要求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原方案的逻辑盲区与全面优化的绝对必要性</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尽管微观机制完善，但原系统缺乏对中宏观商业生态的感知能力，直接导致了以下系统性缺陷：</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行业同质化假设导致风控失焦</w:t>
      </w:r>
      <w:r w:rsidDel="00000000" w:rsidR="00000000" w:rsidRPr="00000000">
        <w:rPr>
          <w:rFonts w:ascii="Google Sans" w:cs="Google Sans" w:eastAsia="Google Sans" w:hAnsi="Google Sans"/>
          <w:color w:val="1f1f1f"/>
          <w:rtl w:val="0"/>
        </w:rPr>
        <w:t xml:space="preserve">：原方案在设计合规扫描探针时，完全无视了重资产行业与轻资产行业在资产结构、折旧占比与自由现金流流向上的本质差异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。用同一套未经加权的算法同时评估通信运营商（重资产）与医疗美容机构（轻资产），必然导致对“高经营现金流/净利润”等特征数据产生灾难性的误判，无法精准锁定特定行业的专属逃避税手段。</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缺失宏观内控评价基准的锚点</w:t>
      </w:r>
      <w:r w:rsidDel="00000000" w:rsidR="00000000" w:rsidRPr="00000000">
        <w:rPr>
          <w:rFonts w:ascii="Google Sans" w:cs="Google Sans" w:eastAsia="Google Sans" w:hAnsi="Google Sans"/>
          <w:color w:val="1f1f1f"/>
          <w:rtl w:val="0"/>
        </w:rPr>
        <w:t xml:space="preserve">：原方案过度沉浸于具体的“微观账目穿透”（如股东借款、虚抵进项），却未能在系统顶层引入国家税务总局高度依赖的“税负率”、“成本费用率”以及“弹性系数”作为总领全局的预警阀门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。没有这些宏观指标的引导，微观账目的审计犹如盲人摸象，无法从结构层面评估财务内控的整体健康度。</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缺少制度层面的闭环辅导与反向评价</w:t>
      </w:r>
      <w:r w:rsidDel="00000000" w:rsidR="00000000" w:rsidRPr="00000000">
        <w:rPr>
          <w:rFonts w:ascii="Google Sans" w:cs="Google Sans" w:eastAsia="Google Sans" w:hAnsi="Google Sans"/>
          <w:color w:val="1f1f1f"/>
          <w:rtl w:val="0"/>
        </w:rPr>
        <w:t xml:space="preserve">：依据《上市公司税务风险内控业务指引》及《大企业税务风险管理指引》，一套完备的风险管理体系必须涵盖组织机构、日常业务制度及重大事项决策流程等前置性建设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。原系统仅扮演“事后违规行为审计”的角色，缺乏对企业事前、事中内部控制制度建设的指引与督导，难以真正消除诱发税务风险的根源环境。</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r w:rsidDel="00000000" w:rsidR="00000000" w:rsidRPr="00000000">
        <w:rPr>
          <w:rFonts w:ascii="Google Sans" w:cs="Google Sans" w:eastAsia="Google Sans" w:hAnsi="Google Sans"/>
          <w:b w:val="1"/>
          <w:bCs w:val="1"/>
          <w:color w:val="1f1f1f"/>
          <w:rtl w:val="0"/>
        </w:rPr>
        <w:t xml:space="preserve">必须全面优化该项目计划书。</w:t>
      </w:r>
      <w:r w:rsidDel="00000000" w:rsidR="00000000" w:rsidRPr="00000000">
        <w:rPr>
          <w:rFonts w:ascii="Google Sans" w:cs="Google Sans" w:eastAsia="Google Sans" w:hAnsi="Google Sans"/>
          <w:color w:val="1f1f1f"/>
          <w:rtl w:val="0"/>
        </w:rPr>
        <w:t xml:space="preserve"> 若不将行业分类基准、税负率及成本费用率作为风控引擎的顶层过滤网，并辅以符合官方指引的制度化内控建设模块，该系统在德勤税务精英挑战赛注重“精准捕捉真实且细分的财税痛点”及“显著的效率提升或合规改进效果”等高额比重评分维度中，将因缺乏宏观商业洞察力与全局内控视野而失去竞争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优化重构输出：《“税智·心判”多维业态财税合规与内控决策支持系统》项目计划书</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保留原方案卓越的云原生架构基建与行为经济学干预机制的基础上，本章正式输出深度整合了“行业异质性动态建模”、“宏观关键内控指标雷达”以及“官方权威内控指引映射”的优化版项目计划书。该方案在“财税专业洞察力 × AI协同开发效率 × 产品化思维”的立体考核坐标系中达到了新的高度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业务背景深化、痛点描述与升级版系统定位</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宏观生态与精细化合规痛点：</w:t>
      </w:r>
      <w:r w:rsidDel="00000000" w:rsidR="00000000" w:rsidRPr="00000000">
        <w:rPr>
          <w:rFonts w:ascii="Google Sans" w:cs="Google Sans" w:eastAsia="Google Sans" w:hAnsi="Google Sans"/>
          <w:color w:val="1f1f1f"/>
          <w:rtl w:val="0"/>
        </w:rPr>
        <w:t xml:space="preserve"> 随着“金税四期”的深化，税务稽查已呈现出向电商、农产品、出口及高净值人群延伸的精确化、协同化趋势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。传统的泛泛而谈的税务筹划已失效，企业面临的真实痛点在于：其一，由于未能识别自身</w:t>
      </w:r>
      <w:r w:rsidDel="00000000" w:rsidR="00000000" w:rsidRPr="00000000">
        <w:rPr>
          <w:rFonts w:ascii="Google Sans" w:cs="Google Sans" w:eastAsia="Google Sans" w:hAnsi="Google Sans"/>
          <w:b w:val="1"/>
          <w:bCs w:val="1"/>
          <w:color w:val="1f1f1f"/>
          <w:rtl w:val="0"/>
        </w:rPr>
        <w:t xml:space="preserve">重资产或轻资产属性</w:t>
      </w:r>
      <w:r w:rsidDel="00000000" w:rsidR="00000000" w:rsidRPr="00000000">
        <w:rPr>
          <w:rFonts w:ascii="Google Sans" w:cs="Google Sans" w:eastAsia="Google Sans" w:hAnsi="Google Sans"/>
          <w:color w:val="1f1f1f"/>
          <w:rtl w:val="0"/>
        </w:rPr>
        <w:t xml:space="preserve">所决定的特殊税收风险红线，盲目效仿其他业态的财税处理方式，导致触雷；其二，由于内部控制体系极度孱弱，对</w:t>
      </w:r>
      <w:r w:rsidDel="00000000" w:rsidR="00000000" w:rsidRPr="00000000">
        <w:rPr>
          <w:rFonts w:ascii="Google Sans" w:cs="Google Sans" w:eastAsia="Google Sans" w:hAnsi="Google Sans"/>
          <w:b w:val="1"/>
          <w:bCs w:val="1"/>
          <w:color w:val="1f1f1f"/>
          <w:rtl w:val="0"/>
        </w:rPr>
        <w:t xml:space="preserve">税负率、成本费用率</w:t>
      </w:r>
      <w:r w:rsidDel="00000000" w:rsidR="00000000" w:rsidRPr="00000000">
        <w:rPr>
          <w:rFonts w:ascii="Google Sans" w:cs="Google Sans" w:eastAsia="Google Sans" w:hAnsi="Google Sans"/>
          <w:color w:val="1f1f1f"/>
          <w:rtl w:val="0"/>
        </w:rPr>
        <w:t xml:space="preserve">等关系生死的宏观财务比例失衡缺乏预警能力，长期暴露在税务大数据系统的“聚光灯”下；其三，“家企不分”导致企业主在面临企业所得税稽查的同时，遭受个人所得税穿透制裁的双重暴击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全新系统定位：</w:t>
      </w:r>
      <w:r w:rsidDel="00000000" w:rsidR="00000000" w:rsidRPr="00000000">
        <w:rPr>
          <w:rFonts w:ascii="Google Sans" w:cs="Google Sans" w:eastAsia="Google Sans" w:hAnsi="Google Sans"/>
          <w:color w:val="1f1f1f"/>
          <w:rtl w:val="0"/>
        </w:rPr>
        <w:t xml:space="preserve"> 优化后的“税智·心判”不再仅仅是一个冷冰冰的税务违规查杀工具，而蜕变为“基于多维业态适配的企业级全景智能税务内控与合规辅导管家”。系统通过动态加载各行业专属的财务结构参数，以前沿的大数据风控雷达审视宏观指标，辅以AI智能体的心理学柔性干预与制度化辅导，帮助中小企业实现从“被动防御处罚”向“主动构建现代税务内部控制体系”的历史性跨越，完美呼应《大企业税务风险管理指引》的合规精神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核心业务蓝图：五维全景税务内控穿透侦测与评价引擎</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优化后的系统引擎从原有的三维拓展为五维，在底层风控逻辑之上增设了基于行业特征的宏观内控评价及制度诊断模块，形成一张自上而下、疏而不漏的精密诊断网络。</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第一维度：行业基准适配与宏观财务内控预警雷达（全新核心）</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系统在企业入驻初始化阶段，要求强制录入或通过统一社会信用代码API智能抓取并匹配其所处行业类别与资产密集度属性（重资产/轻资产）。</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轻重资产异构风险动态模型</w:t>
      </w:r>
      <w:r w:rsidDel="00000000" w:rsidR="00000000" w:rsidRPr="00000000">
        <w:rPr>
          <w:rFonts w:ascii="Google Sans" w:cs="Google Sans" w:eastAsia="Google Sans" w:hAnsi="Google Sans"/>
          <w:color w:val="1f1f1f"/>
          <w:rtl w:val="0"/>
        </w:rPr>
        <w:t xml:space="preserve">：对于识别为通信、化工等重资产企业，系统风控算法将自动调整阈值，降低对“高经营现金流/净利润”比率异常的敏感度，转而启动“资产折旧异常监测专网”，紧盯折旧摊销费用在总成本中占比的非自然波动，以及资本开支（CAPEX）与当期费用的划分边界是否合法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。对于识别为医美、电商、咨询等轻资产高现金流企业，系统将强制锁定“费用化冲账”渠道，利用多维图谱审查无形资产摊销、巨额市场推广费及咨询服务费的真实业务流与资金流互证关系。</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税负率与成本费用率红绿灯系统</w:t>
      </w:r>
      <w:r w:rsidDel="00000000" w:rsidR="00000000" w:rsidRPr="00000000">
        <w:rPr>
          <w:rFonts w:ascii="Google Sans" w:cs="Google Sans" w:eastAsia="Google Sans" w:hAnsi="Google Sans"/>
          <w:color w:val="1f1f1f"/>
          <w:rtl w:val="0"/>
        </w:rPr>
        <w:t xml:space="preserve">：系统云端内置全国各地区、各行业的标准税负率与成本费用率中位数数据库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引擎以毫秒级频率实时演算企业的增值税税负率、企业所得税税负率以及成本费用率。一旦侦测到企业当期成本费用率畸高（如逼近同业90%分位），或发现税负率随营业收入暴增而呈现悬崖式断崖背离弹性系数合理区间，将立即阻断流程并输出《重大内控失效（税务类）高危预警报告》，警示企业可能存在的虚构成本或疯狂买入进项发票的致命嫌疑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第二维度：增值税一般反避税（GAAR）核查与“四流一致”防线</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系统全面对接《中华人民共和国增值税法》的一般反避税规则要求。不仅基于资产负债恒等式原理自动校验虚抵进项或隐匿销售行为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更强化了对出口退税等高危领域的定向排查。针对大宗交易或跨境电商业务，系统将利用智能凭证解析技术，严密比对报关单据、物流轨迹、资金流水与发票明细，一旦发现“四流”呈现无法咬合的错位特征，即刻判定存在极高的虚开及骗税嫌疑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。同时，深入穿透关联交易，对低价转让资产或无息资金拆借且极速回流的无合理商业目的行为予以严厉拦截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第三维度：企业所得税微观指标交叉配比与真实产能还原</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超越了静态报表的束缚，引入外部泛能耗数据互证逻辑。例如，通过获取企业实际缴纳社保人数规模、工业用电量及耗水量，结合行业模型推算其理论真实产能。当该理论产能推演得出的预期收入大幅超越企业账面申报的营业收入，且伴随成本费用率异常畸高时，系统将直接生成“体外循环隐匿收入以压低利润”的红色警报，并联动后台罚金估算模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。并且，依据监管新规，系统会着重对企业所得税税前扣除凭证的完整性进行合规扫描校验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第四维度：个人所得税穿透侦测与“家企不分”历史清算</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系统深度贯彻《税务稽查中个人所得税的100个风险点》的实务指引，穿透账套深水区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针对轻资产高现金流企业高发的“高管公转私”、“大额备用金侵占”顽疾，系统全天候锁死“其他应收款”、“管理费用”及“营业外支出”等高危科目。若系统筛查出股东及其直系亲属以个人名义借款超过365天未归还，且无出差报销等合理业务凭证支持，系统将强制启动个税还原逻辑，直接视同为隐性红利分配，按20%固定税率计算并预警利息、股息、红利所得税欠缴规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同时，严密监控企业利用盈余公积或未分配利润等非股票溢价形成的资本公积违规转增股本的操作，以及借各种名目变相发放给员工的不合规免税津贴，构建覆盖股东到雇员的360度个税防护网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第五维度：依据官方指引的制度化内控辅导矩阵（新增机制）</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对标《大企业税务风险管理指引》与《上市公司税务风险内控业务指引》的框架要求，系统内嵌制度评估引擎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事后审计的基础上，提供事前《日常业务税务管理制度》模板与事中《重大经营事项（重组、大宗采购）税务评估打卡清单》，指导企业实现信息与沟通管理制度的顺畅流转，从根源上消除因适用税法不准确而多缴税款的内控盲区风险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行业异质性强化的行为经济学（SSF与NBT模型）交互干预架构</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在交互层，优化版系统继续深耕“滑坡框架（SSF）”理论，将“税务机关的权力威慑（Power）”与“纳税人的遵从信任（Trust）”之间的博弈巧妙产品化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。针对不同行业特征，系统对NBT（Nudge, Budge, Trudge）行为干预模型进行了更具攻击性与同理心的优化：</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行为干预维度 (NBT)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财税内控干预底层逻辑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结合行业特征与宏观指标的技术落地路径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Nudge (助推：信息架构与环境优化)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消除因财税专业壁垒带来的“认知污泥（Sludge）”，提升对宏观指标异动的直觉警觉。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多轨视角的动态行业坐标系仪表盘</w:t>
            </w:r>
            <w:r w:rsidDel="00000000" w:rsidR="00000000" w:rsidRPr="00000000">
              <w:rPr>
                <w:rFonts w:ascii="Google Sans" w:cs="Google Sans" w:eastAsia="Google Sans" w:hAnsi="Google Sans"/>
                <w:color w:val="1f1f1f"/>
                <w:rtl w:val="0"/>
              </w:rPr>
              <w:t xml:space="preserve">：界面强制采用强烈的色彩心理学分级渲染风险（如使用#EF4444深红标识高危），摒弃晦涩的“弹性系数”学术名词。例如向医美机构老板直白提示：“您的营销引流成本费用率已超同行业均值2倍，且长期微利，税务系统将其列为高危稽查对象的概率达94%”，瞬间打破认知屏障，触发直觉恐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Budge (促动：信念重塑与心理破防)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运用前景理论（Prospect Theory）的“损失框架（Loss Framing）”，彻底粉碎“大不了注销破产”及“法不责众”的盲目乐观。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基于多税种无限期追征的沉浸式违法成本推演模拟器</w:t>
            </w:r>
            <w:r w:rsidDel="00000000" w:rsidR="00000000" w:rsidRPr="00000000">
              <w:rPr>
                <w:rFonts w:ascii="Google Sans" w:cs="Google Sans" w:eastAsia="Google Sans" w:hAnsi="Google Sans"/>
                <w:color w:val="1f1f1f"/>
                <w:rtl w:val="0"/>
              </w:rPr>
              <w:t xml:space="preserve">：将严苛的税法条文转化为震撼的数字雪球。针对识别出的偷漏税及隐形分红，系统硬核执行《税收征管法》运算公式：展示未来3-5年内，退缴巨额企业所得税本金、最高5倍的偷税罚款、加上每日万分之五（年化18.25%）单利复现累加的滞纳金，并叠加股东个人20%个税穿透补缴的复合预期损失总和。通过与当期整改的零罚款成本进行地狱级对比，彻底刺穿企业主的心理防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Trudge (步履：内控制度重建与长效信任)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缓解被极端警告激发的防御与逆反心理，建立基于专业服务的合法性权力依赖。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受控大模型话术引擎与微任务陪伴指引</w:t>
            </w:r>
            <w:r w:rsidDel="00000000" w:rsidR="00000000" w:rsidRPr="00000000">
              <w:rPr>
                <w:rFonts w:ascii="Google Sans" w:cs="Google Sans" w:eastAsia="Google Sans" w:hAnsi="Google Sans"/>
                <w:color w:val="1f1f1f"/>
                <w:rtl w:val="0"/>
              </w:rPr>
              <w:t xml:space="preserve">：利用AI智能体将生硬冰冷的系统审计警告，实时转化为充满商业同理心的建设性优化方案。同时，针对暴露的内控缺陷，系统自动生成对标《大企业税务风险管理指引》规范的轻量化整改SOP（标准作业程序），将庞大的合规工程拆解为可轻松执行的每日打卡微任务，陪伴企业逐步重建稳健的内部控制体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 面向AI Coding智能体的高透明度全生命周期协同交互命令图谱 (Prompt Playbook)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2026德勤税务精英挑战赛极度重视“AI Coding融合度与协同质量”（占据25%评分权重），强制要求参赛者在架构设计、编码、测试等环节中战略性地使用AI智能体，并在《AI协作日志》中展示高透明度的人机协同逻辑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大语言模型在文本生成与基础框架搭建上无可匹敌，但在处理严密的税法条文推演、精确的多级税率跳档以及复杂的行业系数计算时，其固有的概率生成机制极易产生“幻觉”，输出灾难性的错误代码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本优化方案制定了极其严格的人机协同边界：所有涉及行业指标计算、罚款推演的核心风控引擎，必须由开发人员通过强化Prompt指挥智能体进行绝对的纯代码硬编码（Hard-coding）；而AI模型的自由发挥空间，被严格封锁在前端同理心话术润色与脱敏仿真数据生成范围内。</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以下为贯穿“税智·心判”系统四大开发阶段的核心交互指令图谱，设计用于直接输入Trae IDE或DeepSeek-V4-Pro控制台，是提交赛事考核的完美素材展示：</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阶段一：强化行业基准的高精度云原生数据库建模与基建</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本阶段旨在指挥AI快速构建符合云原生标准与赛事安全要求的底层基座，并从物理层彻底杜绝浮点数计算导致的精度丢失灾难。</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交互要素</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交互内容与强制性硬编码约束指令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你是一位深谙现代云原生工程体系、精通Python 3.11、FastAPI框架、SQLAlchemy 2.0 ORM以及PostgreSQL 15高级特性的资深架构师。你对金融与税务软件的数值精度具有强迫症般的敏感，你的所有代码必须遵循PEP8规范并具备生产级鲁棒性。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请在Trae工作空间中创建models.py，利用SQLAlchemy 2.0定义以下数据模型：</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CompanyProfile（含统一社会信用代码、法人信息）。</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(新增)</w:t>
            </w:r>
            <w:r w:rsidDel="00000000" w:rsidR="00000000" w:rsidRPr="00000000">
              <w:rPr>
                <w:rFonts w:ascii="Google Sans" w:cs="Google Sans" w:eastAsia="Google Sans" w:hAnsi="Google Sans"/>
                <w:color w:val="1f1f1f"/>
                <w:rtl w:val="0"/>
              </w:rPr>
              <w:t xml:space="preserve"> IndustryBenchmark（存储宏观内控基准，包含枚举字段industry_asset_type区分重资产/轻资产，以及std_tax_burden_rate标准税负率、max_cost_expense_ratio最高成本费用率阈值）。</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TransactionLedger（流水明细）。</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TaxRiskEvaluation（多维度涉税风险评估记录），该模型需关联IndustryBenchmark进行数据对比计算。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技术红线约束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最高警告：绝对禁止在任何涉及金额或比率（税负率、费用率）的字段中使用Float或Real浮点数类型。你必须强制引入并使用SQLAlchemy的NUMERIC(15,4)或DECIMAL(15,2)类型。附带生成基于asyncpg驱动的异步数据库连接池文件database.p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阶段二：成本费用率、宏观异质性与全税种惩罚引擎的硬编码隔离</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本阶段将复杂的行业异质性判断逻辑、增值税反避税逻辑与个税穿透处罚机制转化为不可篡改的确定性Python代码，彻底隔绝大模型的自主近似推理。</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交互要素</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交互内容与强制性硬编码约束指令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是一位持有中国注册税务师（CTA）资格证书的资深后端算法工程师。你的唯一职责是将我提供的确定性商业逻辑与税法规则，逐字翻译为严密高效的代码。你被绝对剥夺了使用推理能力进行“近似推导”的权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在services/tax_risk_engine.py中，编写异步核心函数calculate_comprehensive_tax_risk，实现以下多维评价逻辑：</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行业基准与宏观内控核算</w:t>
            </w:r>
            <w:r w:rsidDel="00000000" w:rsidR="00000000" w:rsidRPr="00000000">
              <w:rPr>
                <w:rFonts w:ascii="Google Sans" w:cs="Google Sans" w:eastAsia="Google Sans" w:hAnsi="Google Sans"/>
                <w:color w:val="1f1f1f"/>
                <w:rtl w:val="0"/>
              </w:rPr>
              <w:t xml:space="preserve">：获取当期成本与费用总计除以营业收入，若该成本费用率大于关联IndustryBenchmark中位数的1.5倍，立即触发InternalControlFailureWarning。同时，根据企业轻重资产属性，对“经营现金流/净利润”指标执行不同权重的风险异常捕获。</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增值税GAAR穿透</w:t>
            </w:r>
            <w:r w:rsidDel="00000000" w:rsidR="00000000" w:rsidRPr="00000000">
              <w:rPr>
                <w:rFonts w:ascii="Google Sans" w:cs="Google Sans" w:eastAsia="Google Sans" w:hAnsi="Google Sans"/>
                <w:color w:val="1f1f1f"/>
                <w:rtl w:val="0"/>
              </w:rPr>
              <w:t xml:space="preserve">：遍历关联交易，若发现无形资产转让定价畸低且资金短时间内闭环回流，抛出缺乏合理商业目的避税嫌疑。</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b w:val="1"/>
                <w:bCs w:val="1"/>
                <w:color w:val="1f1f1f"/>
                <w:rtl w:val="0"/>
              </w:rPr>
              <w:t xml:space="preserve">个税隐性分红惩罚复现</w:t>
            </w:r>
            <w:r w:rsidDel="00000000" w:rsidR="00000000" w:rsidRPr="00000000">
              <w:rPr>
                <w:rFonts w:ascii="Google Sans" w:cs="Google Sans" w:eastAsia="Google Sans" w:hAnsi="Google Sans"/>
                <w:color w:val="1f1f1f"/>
                <w:rtl w:val="0"/>
              </w:rPr>
              <w:t xml:space="preserve">：扫描“其他应收款”，筛选出股东个人借款超365天未还金额，强制乘以0.20费率预估个税；随后按0.5至5倍浮动倍率生成行政罚款乘数，并执行“总欠税本金 * 0.0005 * 逾期天数”单利复现滞纳金总额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技术红线约束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所有的数值运算操作必须强制引入Python内置的decimal.Decimal类执行。罚款与滞纳金计息方式必须严格锁定，函数返回结果须为包含枚举标记的结构化字典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阶段三：基于行为科学（SSF+NBT模型）的柔性干预同理心话术润色</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该阶段是系统中唯一允许并鼓励大语言模型发挥其强大的自然语言处理与风格迁移能力的受控区域。</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交互要素</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交互内容与强制性硬编码约束指令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是“税智·心判”合规决策支持系统内置的行为经济学心理干预引擎。你精通“滑坡框架（SSF）”理论与“NBT”行为干预模型。你的任务是将后端传来的冰冷惩罚数据，重塑为能够打破侥幸心理、促进自愿整改并建立信任的结构化文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请处理以下风险JSON包数据（包含：轻资产属性，成本费用率畸高超同行200%预警，涉嫌虚增咨询费，预测个税穿透补缴及3.5倍罚款本金，日万分之五累加滞纳金）。</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请针对一位极度盲目自信的企业主，严格分为三层输出：</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Nudge层（环境助推）</w:t>
            </w:r>
            <w:r w:rsidDel="00000000" w:rsidR="00000000" w:rsidRPr="00000000">
              <w:rPr>
                <w:rFonts w:ascii="Google Sans" w:cs="Google Sans" w:eastAsia="Google Sans" w:hAnsi="Google Sans"/>
                <w:color w:val="1f1f1f"/>
                <w:rtl w:val="0"/>
              </w:rPr>
              <w:t xml:space="preserve">：直击其“轻资产缺合法进项导致利润虚高”的行业痛点，使用色彩心理学建议，引起直觉警觉。</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Budge层（信念重塑）</w:t>
            </w:r>
            <w:r w:rsidDel="00000000" w:rsidR="00000000" w:rsidRPr="00000000">
              <w:rPr>
                <w:rFonts w:ascii="Google Sans" w:cs="Google Sans" w:eastAsia="Google Sans" w:hAnsi="Google Sans"/>
                <w:color w:val="1f1f1f"/>
                <w:rtl w:val="0"/>
              </w:rPr>
              <w:t xml:space="preserve">：利用损失框架（Loss Framing），重点将未来三年的复合稽查预期损失总额与当期立刻合规自查的零罚款整改成本进行强烈的并列对比。</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b w:val="1"/>
                <w:bCs w:val="1"/>
                <w:color w:val="1f1f1f"/>
                <w:rtl w:val="0"/>
              </w:rPr>
              <w:t xml:space="preserve">Trudge层（长效信任）</w:t>
            </w:r>
            <w:r w:rsidDel="00000000" w:rsidR="00000000" w:rsidRPr="00000000">
              <w:rPr>
                <w:rFonts w:ascii="Google Sans" w:cs="Google Sans" w:eastAsia="Google Sans" w:hAnsi="Google Sans"/>
                <w:color w:val="1f1f1f"/>
                <w:rtl w:val="0"/>
              </w:rPr>
              <w:t xml:space="preserve">：提供对应《日常业务税务管理制度》优化的微任务步骤指导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技术红线约束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绝对、无条件禁止对JSON中提供的任何基础金额与税率数值进行篡改或四舍五入。语气必须保持专业克制，始终围绕“合规带来的长期安全价值”展开，体现权威与信任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阶段四：CI/CD自动化部署流水线与公网动态脱敏安全沙盒构建</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指挥智能体生成完全符合赛事对公网稳定访问及数据安全红线要求的基础设施代码。</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交互要素</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交互内容与强制性硬编码约束指令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请在Trae工程根目录下，生成实现自动化持续交付与公网安全落地的必备脚本：</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编写.github/workflows/main_deploy.yml定义GitHub Actions，需涵盖环境构建、使用Ruff进行静态格式扫描、Bandit深层安全漏洞排查，并在postgres:15服务容器中运行pytest高覆盖率测试用例。</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编写docker-compose.yml，定义包含PostgreSQL、FastAPI微服务以及配置了SSL和防DDoS连接数限制的Nginx反向代理网关的容器编排栈。</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编写scripts/mock_desensitized_data_seeder.py脚本，引入Faker库生成不少于50条涵盖重工制造与轻资产服务业的仿真脱敏涉税账套数据，并通过SQLAlchemy注入数据库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技术红线约束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CI/CD流水线中任何扫描或测试步骤Exit code非0必须导致部署硬性阻断。数据注入脚本中生成的统一社会信用代码必须合规虚拟化，法人姓名、身份证号码必须经过不可逆的星号掩码处理（如“王*明”）。模拟数据的比例（如费用率）必须符合真实商业逻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 最终研判与总结论</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随着智慧税务生态由“以票管税”向“以数治税”的深水区全面挺进，基于多源异构数据交叉验证的大数据风控模型已成为税务稽查的核心武器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。企业所面临的税务风险，其根源往往不在于某一笔单一的账目差错，而在于底层内部控制体系的系统性失灵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原《“税智·心判”中小民企财税合规决策支持系统》项目计划书虽然在微观维度的个人所得税穿透核查与前沿的行为经济学干预应用上展现了卓越的洞察力，但由于未能识别重资产与轻资产模式带来的涉税规律异质性，并严重缺失了“成本费用率”和“税负率”等决定企业内控宏观健康度的终极评价基准，导致其在应对真实复杂商业环境时存在致命的技术债务与逻辑盲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本报告执行的深度学术研判与底层工程架构重构，优化输出的全新项目计划书成功建立了一张自宏观行业基准俯视至微观个税漏洞的五维立体防御网。该方案不仅完美吸收了《大企业税务风险管理指引》与《上市公司税务风险内控业务指引》的制度化精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，从物理隔离到算法引擎彻底贯彻了云原生高精度与强安全的数据治理标准，更通过极其严密的防幻觉AI交互命令图谱（Prompt Playbook）展现了顶尖的人机协作开发理念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。这份饱含着深邃财税法规洞察、前卫行为科学通识以及无懈可击软件工程落地能力的优化蓝图，必将为2026德勤税务精英挑战赛提交一份兼具极高学术高度与巨大商业投资变现潜能的完美答卷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项目计划书与AI交互优化.docx</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2026年税务稽查重点领域 - 税屋, 访问时间为 七月 13, 2026， </w:t>
      </w:r>
      <w:hyperlink r:id="rId6">
        <w:r w:rsidDel="00000000" w:rsidR="00000000" w:rsidRPr="00000000">
          <w:rPr>
            <w:rFonts w:ascii="Google Sans" w:cs="Google Sans" w:eastAsia="Google Sans" w:hAnsi="Google Sans"/>
            <w:color w:val="0000ee"/>
            <w:sz w:val="24"/>
            <w:szCs w:val="24"/>
            <w:u w:val="single"/>
            <w:rtl w:val="0"/>
          </w:rPr>
          <w:t xml:space="preserve">https://www.shui5.cn/article/89/86824.html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税务总局发布《大企业税务风险管理指引(试行)》 - 湖南省工业和信息化厅, 访问时间为 七月 13, 2026， </w:t>
      </w:r>
      <w:hyperlink r:id="rId7">
        <w:r w:rsidDel="00000000" w:rsidR="00000000" w:rsidRPr="00000000">
          <w:rPr>
            <w:rFonts w:ascii="Google Sans" w:cs="Google Sans" w:eastAsia="Google Sans" w:hAnsi="Google Sans"/>
            <w:color w:val="0000ee"/>
            <w:sz w:val="24"/>
            <w:szCs w:val="24"/>
            <w:u w:val="single"/>
            <w:rtl w:val="0"/>
          </w:rPr>
          <w:t xml:space="preserve">http://gxt.hunan.gov.cn/xxgk_71033/gzdt/jxyw/200905/t20090520_2075568.html</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上市公司税务风险内控业务指引, 访问时间为 七月 13, 2026， </w:t>
      </w:r>
      <w:hyperlink r:id="rId8">
        <w:r w:rsidDel="00000000" w:rsidR="00000000" w:rsidRPr="00000000">
          <w:rPr>
            <w:rFonts w:ascii="Google Sans" w:cs="Google Sans" w:eastAsia="Google Sans" w:hAnsi="Google Sans"/>
            <w:color w:val="0000ee"/>
            <w:sz w:val="24"/>
            <w:szCs w:val="24"/>
            <w:u w:val="single"/>
            <w:rtl w:val="0"/>
          </w:rPr>
          <w:t xml:space="preserve">http://www.cctaa.cn/zygf/chzy/202503/t20250322_1136617.html</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国家税务总局关于印发《大企业税务风险管理指引[试行]》的通知, 访问时间为 七月 13, 2026， </w:t>
      </w:r>
      <w:hyperlink r:id="rId9">
        <w:r w:rsidDel="00000000" w:rsidR="00000000" w:rsidRPr="00000000">
          <w:rPr>
            <w:rFonts w:ascii="Google Sans" w:cs="Google Sans" w:eastAsia="Google Sans" w:hAnsi="Google Sans"/>
            <w:color w:val="0000ee"/>
            <w:sz w:val="24"/>
            <w:szCs w:val="24"/>
            <w:u w:val="single"/>
            <w:rtl w:val="0"/>
          </w:rPr>
          <w:t xml:space="preserve">https://zhongtianyue.com/index.php?route=Index/Policy/detail&amp;aid=1680</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重资产和轻资产之辩, 访问时间为 七月 13, 2026， </w:t>
      </w:r>
      <w:hyperlink r:id="rId10">
        <w:r w:rsidDel="00000000" w:rsidR="00000000" w:rsidRPr="00000000">
          <w:rPr>
            <w:rFonts w:ascii="Google Sans" w:cs="Google Sans" w:eastAsia="Google Sans" w:hAnsi="Google Sans"/>
            <w:color w:val="0000ee"/>
            <w:sz w:val="24"/>
            <w:szCs w:val="24"/>
            <w:u w:val="single"/>
            <w:rtl w:val="0"/>
          </w:rPr>
          <w:t xml:space="preserve">https://pdf.dfcfw.com/pdf/H3_AP202203151552756625_1.pdf?1647353917000.pdf</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2026年税务稽查与征管趋势分析——比较2025年与2026年全国税务工作会议报告, 访问时间为 七月 13, 2026， </w:t>
      </w:r>
      <w:hyperlink r:id="rId11">
        <w:r w:rsidDel="00000000" w:rsidR="00000000" w:rsidRPr="00000000">
          <w:rPr>
            <w:rFonts w:ascii="Google Sans" w:cs="Google Sans" w:eastAsia="Google Sans" w:hAnsi="Google Sans"/>
            <w:color w:val="0000ee"/>
            <w:sz w:val="24"/>
            <w:szCs w:val="24"/>
            <w:u w:val="single"/>
            <w:rtl w:val="0"/>
          </w:rPr>
          <w:t xml:space="preserve">https://www.shui5.cn/article/91/51225.html</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企业所得税风险指标分析讲解（河南税务2022年10月） - 税屋, 访问时间为 七月 13, 2026， </w:t>
      </w:r>
      <w:hyperlink r:id="rId12">
        <w:r w:rsidDel="00000000" w:rsidR="00000000" w:rsidRPr="00000000">
          <w:rPr>
            <w:rFonts w:ascii="Google Sans" w:cs="Google Sans" w:eastAsia="Google Sans" w:hAnsi="Google Sans"/>
            <w:color w:val="0000ee"/>
            <w:sz w:val="24"/>
            <w:szCs w:val="24"/>
            <w:u w:val="single"/>
            <w:rtl w:val="0"/>
          </w:rPr>
          <w:t xml:space="preserve">https://www.shui5.cn/article/16/59253.html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hui5.cn/article/91/51225.html" TargetMode="External"/><Relationship Id="rId10" Type="http://schemas.openxmlformats.org/officeDocument/2006/relationships/hyperlink" Target="https://pdf.dfcfw.com/pdf/H3_AP202203151552756625_1.pdf?1647353917000.pdf" TargetMode="External"/><Relationship Id="rId12" Type="http://schemas.openxmlformats.org/officeDocument/2006/relationships/hyperlink" Target="https://www.shui5.cn/article/16/59253.html" TargetMode="External"/><Relationship Id="rId9" Type="http://schemas.openxmlformats.org/officeDocument/2006/relationships/hyperlink" Target="https://zhongtianyue.com/index.php?route=Index/Policy/detail&amp;aid=1680" TargetMode="External"/><Relationship Id="rId5" Type="http://schemas.openxmlformats.org/officeDocument/2006/relationships/styles" Target="styles.xml"/><Relationship Id="rId6" Type="http://schemas.openxmlformats.org/officeDocument/2006/relationships/hyperlink" Target="https://www.shui5.cn/article/89/86824.html" TargetMode="External"/><Relationship Id="rId7" Type="http://schemas.openxmlformats.org/officeDocument/2006/relationships/hyperlink" Target="http://gxt.hunan.gov.cn/xxgk_71033/gzdt/jxyw/200905/t20090520_2075568.html" TargetMode="External"/><Relationship Id="rId8" Type="http://schemas.openxmlformats.org/officeDocument/2006/relationships/hyperlink" Target="http://www.cctaa.cn/zygf/chzy/202503/t20250322_113661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