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ABD67">
      <w:pPr>
        <w:pStyle w:val="32"/>
        <w:spacing w:after="400"/>
        <w:jc w:val="center"/>
      </w:pPr>
      <w:r>
        <w:rPr>
          <w:rFonts w:ascii="微软雅黑" w:hAnsi="微软雅黑" w:eastAsia="微软雅黑"/>
          <w:b/>
          <w:color w:val="1A56DB"/>
          <w:sz w:val="44"/>
        </w:rPr>
        <w:t>Trae 编程指令文档：「税智·心判」中小民企老板财税合规决策支持系统</w:t>
      </w:r>
    </w:p>
    <w:p w14:paraId="0ACD5631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b/>
          <w:sz w:val="21"/>
        </w:rPr>
        <w:t>使用说明</w:t>
      </w:r>
      <w:r>
        <w:rPr>
          <w:rFonts w:ascii="微软雅黑" w:hAnsi="微软雅黑" w:eastAsia="微软雅黑"/>
          <w:sz w:val="21"/>
        </w:rPr>
        <w:t>：将本文档完整内容复制到 Trae（DeepSeek-V4-Pro）的对话窗口中，按照"第八部分：分阶段实施计划"的顺序逐阶段发送指令。每个阶段的指令可以独立执行，建议按顺序进行。</w:t>
      </w:r>
    </w:p>
    <w:p w14:paraId="138D26EA">
      <w:pPr>
        <w:spacing w:after="120" w:line="360" w:lineRule="exact"/>
      </w:pPr>
      <w:r>
        <w:rPr>
          <w:rFonts w:ascii="微软雅黑" w:hAnsi="微软雅黑" w:eastAsia="微软雅黑"/>
          <w:sz w:val="21"/>
        </w:rPr>
        <w:t>&gt;</w:t>
      </w:r>
    </w:p>
    <w:p w14:paraId="3CF667F2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b/>
          <w:sz w:val="21"/>
        </w:rPr>
        <w:t>文档性质</w:t>
      </w:r>
      <w:r>
        <w:rPr>
          <w:rFonts w:ascii="微软雅黑" w:hAnsi="微软雅黑" w:eastAsia="微软雅黑"/>
          <w:sz w:val="21"/>
        </w:rPr>
        <w:t>：本文档是面向 AI Coding 智能体（Trae / DeepSeek-V4-Pro）的结构化编程指令集，涵盖项目从骨架搭建到 Docker 部署的全流程。</w:t>
      </w:r>
    </w:p>
    <w:p w14:paraId="15269A1C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第一部分：项目概述与全局指令</w:t>
      </w:r>
    </w:p>
    <w:p w14:paraId="73F80E44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1.1 项目背景</w:t>
      </w:r>
    </w:p>
    <w:p w14:paraId="7B33C084">
      <w:pPr>
        <w:spacing w:after="120" w:line="360" w:lineRule="exact"/>
      </w:pPr>
      <w:r>
        <w:rPr>
          <w:rFonts w:ascii="微软雅黑" w:hAnsi="微软雅黑" w:eastAsia="微软雅黑"/>
          <w:sz w:val="21"/>
        </w:rPr>
        <w:t>「税智·心判」是一个面向中小民企老板的财税合规决策支持系统，核心创新点是将</w:t>
      </w:r>
      <w:r>
        <w:rPr>
          <w:rFonts w:ascii="微软雅黑" w:hAnsi="微软雅黑" w:eastAsia="微软雅黑"/>
          <w:b/>
          <w:sz w:val="21"/>
        </w:rPr>
        <w:t>行为经济学/认知心理学</w:t>
      </w:r>
      <w:r>
        <w:rPr>
          <w:rFonts w:ascii="微软雅黑" w:hAnsi="微软雅黑" w:eastAsia="微软雅黑"/>
          <w:sz w:val="21"/>
        </w:rPr>
        <w:t>引入财税合规领域。系统通过模拟金税四期稽查逻辑识别企业财税风险，同时基于老板的决策行为数据推断其认知偏差类型（掌控欲、损失厌恶、乐观偏差、控制错觉、短期主义、防御心理），并通过沉浸式风险模拟器进行心理干预，引导老板做出合规决策。</w:t>
      </w:r>
    </w:p>
    <w:p w14:paraId="354DCBB2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1.2 技术栈确认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7BA9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56DB"/>
          </w:tcPr>
          <w:p w14:paraId="52CBD50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w="3135" w:type="dxa"/>
            <w:shd w:val="clear" w:color="auto" w:fill="1A56DB"/>
          </w:tcPr>
          <w:p w14:paraId="652F8F9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技术选型</w:t>
            </w:r>
          </w:p>
        </w:tc>
        <w:tc>
          <w:tcPr>
            <w:tcW w:w="3135" w:type="dxa"/>
            <w:shd w:val="clear" w:color="auto" w:fill="1A56DB"/>
          </w:tcPr>
          <w:p w14:paraId="0AF7FD3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版本要求</w:t>
            </w:r>
          </w:p>
        </w:tc>
      </w:tr>
      <w:tr w14:paraId="4AAD2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431A1F8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w="3135" w:type="dxa"/>
            <w:shd w:val="clear" w:color="auto" w:fill="F8FAFC"/>
          </w:tcPr>
          <w:p w14:paraId="243FB4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React + Vite + Tailwind CSS</w:t>
            </w:r>
          </w:p>
        </w:tc>
        <w:tc>
          <w:tcPr>
            <w:tcW w:w="3135" w:type="dxa"/>
            <w:shd w:val="clear" w:color="auto" w:fill="F8FAFC"/>
          </w:tcPr>
          <w:p w14:paraId="049550C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React 18, Vite 5, Tailwind 3.4</w:t>
            </w:r>
          </w:p>
        </w:tc>
      </w:tr>
      <w:tr w14:paraId="0A8A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F689C6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后端</w:t>
            </w:r>
          </w:p>
        </w:tc>
        <w:tc>
          <w:tcPr>
            <w:tcW w:w="3135" w:type="dxa"/>
          </w:tcPr>
          <w:p w14:paraId="72843A7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Python FastAPI</w:t>
            </w:r>
          </w:p>
        </w:tc>
        <w:tc>
          <w:tcPr>
            <w:tcW w:w="3135" w:type="dxa"/>
          </w:tcPr>
          <w:p w14:paraId="74C0F3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FastAPI 0.110+, Python 3.11+</w:t>
            </w:r>
          </w:p>
        </w:tc>
      </w:tr>
      <w:tr w14:paraId="2AE3F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5855D6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数据库</w:t>
            </w:r>
          </w:p>
        </w:tc>
        <w:tc>
          <w:tcPr>
            <w:tcW w:w="3135" w:type="dxa"/>
            <w:shd w:val="clear" w:color="auto" w:fill="F8FAFC"/>
          </w:tcPr>
          <w:p w14:paraId="7A7F664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PostgreSQL</w:t>
            </w:r>
          </w:p>
        </w:tc>
        <w:tc>
          <w:tcPr>
            <w:tcW w:w="3135" w:type="dxa"/>
            <w:shd w:val="clear" w:color="auto" w:fill="F8FAFC"/>
          </w:tcPr>
          <w:p w14:paraId="6731A5C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15+</w:t>
            </w:r>
          </w:p>
        </w:tc>
      </w:tr>
      <w:tr w14:paraId="7418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090FC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ORM</w:t>
            </w:r>
          </w:p>
        </w:tc>
        <w:tc>
          <w:tcPr>
            <w:tcW w:w="3135" w:type="dxa"/>
          </w:tcPr>
          <w:p w14:paraId="6DC8B67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SQLAlchemy 2.0 + Alembic</w:t>
            </w:r>
          </w:p>
        </w:tc>
        <w:tc>
          <w:tcPr>
            <w:tcW w:w="3135" w:type="dxa"/>
          </w:tcPr>
          <w:p w14:paraId="2F88D2A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SQLAlchemy 2.0+</w:t>
            </w:r>
          </w:p>
        </w:tc>
      </w:tr>
      <w:tr w14:paraId="05BB5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6E62C4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AI能力</w:t>
            </w:r>
          </w:p>
        </w:tc>
        <w:tc>
          <w:tcPr>
            <w:tcW w:w="3135" w:type="dxa"/>
            <w:shd w:val="clear" w:color="auto" w:fill="F8FAFC"/>
          </w:tcPr>
          <w:p w14:paraId="21D0EB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大模型API（通义千问/DeepSeek）+ 规则引擎</w:t>
            </w:r>
          </w:p>
        </w:tc>
        <w:tc>
          <w:tcPr>
            <w:tcW w:w="3135" w:type="dxa"/>
            <w:shd w:val="clear" w:color="auto" w:fill="F8FAFC"/>
          </w:tcPr>
          <w:p w14:paraId="6B5F33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仅用于话术润色，核心逻辑硬编码</w:t>
            </w:r>
          </w:p>
        </w:tc>
      </w:tr>
      <w:tr w14:paraId="0E9A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713C81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w="3135" w:type="dxa"/>
          </w:tcPr>
          <w:p w14:paraId="6F0E666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Docker + docker-compose</w:t>
            </w:r>
          </w:p>
        </w:tc>
        <w:tc>
          <w:tcPr>
            <w:tcW w:w="3135" w:type="dxa"/>
          </w:tcPr>
          <w:p w14:paraId="18C6CF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 w14:paraId="3144AD6A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1.3 全局编码规范</w:t>
      </w:r>
    </w:p>
    <w:p w14:paraId="5D242FDC">
      <w:pPr>
        <w:spacing w:after="120" w:line="360" w:lineRule="exact"/>
      </w:pPr>
      <w:r>
        <w:rPr>
          <w:rFonts w:ascii="微软雅黑" w:hAnsi="微软雅黑" w:eastAsia="微软雅黑"/>
          <w:sz w:val="21"/>
        </w:rPr>
        <w:t>请 Trae 在生成所有代码时严格遵守以下规范：</w:t>
      </w:r>
    </w:p>
    <w:p w14:paraId="151D8C39">
      <w:pPr>
        <w:pStyle w:val="14"/>
        <w:spacing w:after="60"/>
      </w:pPr>
      <w:r>
        <w:rPr>
          <w:rFonts w:ascii="微软雅黑" w:hAnsi="微软雅黑" w:eastAsia="微软雅黑"/>
          <w:b/>
          <w:sz w:val="21"/>
        </w:rPr>
        <w:t>后端 Python 代码规范</w:t>
      </w:r>
      <w:r>
        <w:rPr>
          <w:rFonts w:ascii="微软雅黑" w:hAnsi="微软雅黑" w:eastAsia="微软雅黑"/>
          <w:sz w:val="21"/>
        </w:rPr>
        <w:t>：</w:t>
      </w:r>
    </w:p>
    <w:p w14:paraId="03D9B386">
      <w:pPr>
        <w:pStyle w:val="23"/>
        <w:spacing w:after="40"/>
      </w:pPr>
      <w:r>
        <w:rPr>
          <w:rFonts w:ascii="微软雅黑" w:hAnsi="微软雅黑" w:eastAsia="微软雅黑"/>
          <w:sz w:val="21"/>
        </w:rPr>
        <w:t>使用 Python 3.11+ 语法，类型注解全覆盖（</w:t>
      </w:r>
      <w:r>
        <w:rPr>
          <w:rFonts w:ascii="Consolas" w:hAnsi="Consolas" w:eastAsia="Consolas"/>
          <w:color w:val="DC2626"/>
          <w:sz w:val="19"/>
        </w:rPr>
        <w:t>from typing import ...</w:t>
      </w:r>
      <w:r>
        <w:rPr>
          <w:rFonts w:ascii="微软雅黑" w:hAnsi="微软雅黑" w:eastAsia="微软雅黑"/>
          <w:sz w:val="21"/>
        </w:rPr>
        <w:t>）</w:t>
      </w:r>
    </w:p>
    <w:p w14:paraId="02008B8C">
      <w:pPr>
        <w:pStyle w:val="23"/>
        <w:spacing w:after="40"/>
      </w:pPr>
      <w:r>
        <w:rPr>
          <w:rFonts w:ascii="微软雅黑" w:hAnsi="微软雅黑" w:eastAsia="微软雅黑"/>
          <w:sz w:val="21"/>
        </w:rPr>
        <w:t>遵循 PEP 8，行宽上限 120 字符</w:t>
      </w:r>
    </w:p>
    <w:p w14:paraId="037CD9A2">
      <w:pPr>
        <w:pStyle w:val="23"/>
        <w:spacing w:after="40"/>
      </w:pPr>
      <w:r>
        <w:rPr>
          <w:rFonts w:ascii="微软雅黑" w:hAnsi="微软雅黑" w:eastAsia="微软雅黑"/>
          <w:sz w:val="21"/>
        </w:rPr>
        <w:t>所有函数必须有 docstring，说明参数、返回值、异常</w:t>
      </w:r>
    </w:p>
    <w:p w14:paraId="0E747F56">
      <w:pPr>
        <w:pStyle w:val="23"/>
        <w:spacing w:after="40"/>
      </w:pPr>
      <w:r>
        <w:rPr>
          <w:rFonts w:ascii="微软雅黑" w:hAnsi="微软雅黑" w:eastAsia="微软雅黑"/>
          <w:sz w:val="21"/>
        </w:rPr>
        <w:t>使用 Pydantic v2 进行数据校验</w:t>
      </w:r>
    </w:p>
    <w:p w14:paraId="7CAF793D">
      <w:pPr>
        <w:pStyle w:val="23"/>
        <w:spacing w:after="40"/>
      </w:pPr>
      <w:r>
        <w:rPr>
          <w:rFonts w:ascii="微软雅黑" w:hAnsi="微软雅黑" w:eastAsia="微软雅黑"/>
          <w:sz w:val="21"/>
        </w:rPr>
        <w:t>核心财税逻辑（四流匹配、罚款计算、优惠条件核验）必须使用规则引擎硬编码，</w:t>
      </w:r>
      <w:r>
        <w:rPr>
          <w:rFonts w:ascii="微软雅黑" w:hAnsi="微软雅黑" w:eastAsia="微软雅黑"/>
          <w:b/>
          <w:sz w:val="21"/>
        </w:rPr>
        <w:t>禁止依赖大模型生成</w:t>
      </w:r>
    </w:p>
    <w:p w14:paraId="600CE7F1">
      <w:pPr>
        <w:pStyle w:val="23"/>
        <w:spacing w:after="40"/>
      </w:pPr>
      <w:r>
        <w:rPr>
          <w:rFonts w:ascii="微软雅黑" w:hAnsi="微软雅黑" w:eastAsia="微软雅黑"/>
          <w:sz w:val="21"/>
        </w:rPr>
        <w:t>大模型 API 调用仅限于：报告话术润色、案例检索辅助、用户问答交互</w:t>
      </w:r>
    </w:p>
    <w:p w14:paraId="0E8BC9F6">
      <w:pPr>
        <w:pStyle w:val="14"/>
        <w:spacing w:after="60"/>
      </w:pPr>
      <w:r>
        <w:rPr>
          <w:rFonts w:ascii="微软雅黑" w:hAnsi="微软雅黑" w:eastAsia="微软雅黑"/>
          <w:b/>
          <w:sz w:val="21"/>
        </w:rPr>
        <w:t>前端 React 代码规范</w:t>
      </w:r>
      <w:r>
        <w:rPr>
          <w:rFonts w:ascii="微软雅黑" w:hAnsi="微软雅黑" w:eastAsia="微软雅黑"/>
          <w:sz w:val="21"/>
        </w:rPr>
        <w:t>：</w:t>
      </w:r>
    </w:p>
    <w:p w14:paraId="4A7BEE19">
      <w:pPr>
        <w:pStyle w:val="23"/>
        <w:spacing w:after="40"/>
      </w:pPr>
      <w:r>
        <w:rPr>
          <w:rFonts w:ascii="微软雅黑" w:hAnsi="微软雅黑" w:eastAsia="微软雅黑"/>
          <w:sz w:val="21"/>
        </w:rPr>
        <w:t>使用函数组件 + Hooks，禁止 class 组件</w:t>
      </w:r>
    </w:p>
    <w:p w14:paraId="5B89EE53">
      <w:pPr>
        <w:pStyle w:val="23"/>
        <w:spacing w:after="40"/>
      </w:pPr>
      <w:r>
        <w:rPr>
          <w:rFonts w:ascii="微软雅黑" w:hAnsi="微软雅黑" w:eastAsia="微软雅黑"/>
          <w:sz w:val="21"/>
        </w:rPr>
        <w:t>使用 TypeScript（</w:t>
      </w:r>
      <w:r>
        <w:rPr>
          <w:rFonts w:ascii="Consolas" w:hAnsi="Consolas" w:eastAsia="Consolas"/>
          <w:color w:val="DC2626"/>
          <w:sz w:val="19"/>
        </w:rPr>
        <w:t>.tsx</w:t>
      </w:r>
      <w:r>
        <w:rPr>
          <w:rFonts w:ascii="微软雅黑" w:hAnsi="微软雅黑" w:eastAsia="微软雅黑"/>
          <w:sz w:val="21"/>
        </w:rPr>
        <w:t>），所有 props 必须有 interface 定义</w:t>
      </w:r>
    </w:p>
    <w:p w14:paraId="24EE8735">
      <w:pPr>
        <w:pStyle w:val="23"/>
        <w:spacing w:after="40"/>
      </w:pPr>
      <w:r>
        <w:rPr>
          <w:rFonts w:ascii="微软雅黑" w:hAnsi="微软雅黑" w:eastAsia="微软雅黑"/>
          <w:sz w:val="21"/>
        </w:rPr>
        <w:t>状态管理使用 Zustand（轻量级）</w:t>
      </w:r>
    </w:p>
    <w:p w14:paraId="2746ACB2">
      <w:pPr>
        <w:pStyle w:val="23"/>
        <w:spacing w:after="40"/>
      </w:pPr>
      <w:r>
        <w:rPr>
          <w:rFonts w:ascii="微软雅黑" w:hAnsi="微软雅黑" w:eastAsia="微软雅黑"/>
          <w:sz w:val="21"/>
        </w:rPr>
        <w:t>HTTP 请求使用 axios，统一封装请求拦截器</w:t>
      </w:r>
    </w:p>
    <w:p w14:paraId="2B65520C">
      <w:pPr>
        <w:pStyle w:val="23"/>
        <w:spacing w:after="40"/>
      </w:pPr>
      <w:r>
        <w:rPr>
          <w:rFonts w:ascii="微软雅黑" w:hAnsi="微软雅黑" w:eastAsia="微软雅黑"/>
          <w:sz w:val="21"/>
        </w:rPr>
        <w:t>图表使用 Recharts 或 ECharts</w:t>
      </w:r>
    </w:p>
    <w:p w14:paraId="62FCD591">
      <w:pPr>
        <w:pStyle w:val="23"/>
        <w:spacing w:after="40"/>
      </w:pPr>
      <w:r>
        <w:rPr>
          <w:rFonts w:ascii="微软雅黑" w:hAnsi="微软雅黑" w:eastAsia="微软雅黑"/>
          <w:sz w:val="21"/>
        </w:rPr>
        <w:t>所有用户可见文案使用中文</w:t>
      </w:r>
    </w:p>
    <w:p w14:paraId="767C571D">
      <w:pPr>
        <w:pStyle w:val="14"/>
        <w:spacing w:after="60"/>
      </w:pPr>
      <w:r>
        <w:rPr>
          <w:rFonts w:ascii="微软雅黑" w:hAnsi="微软雅黑" w:eastAsia="微软雅黑"/>
          <w:b/>
          <w:sz w:val="21"/>
        </w:rPr>
        <w:t>数据库规范</w:t>
      </w:r>
      <w:r>
        <w:rPr>
          <w:rFonts w:ascii="微软雅黑" w:hAnsi="微软雅黑" w:eastAsia="微软雅黑"/>
          <w:sz w:val="21"/>
        </w:rPr>
        <w:t>：</w:t>
      </w:r>
    </w:p>
    <w:p w14:paraId="51F0172F">
      <w:pPr>
        <w:pStyle w:val="23"/>
        <w:spacing w:after="40"/>
      </w:pPr>
      <w:r>
        <w:rPr>
          <w:rFonts w:ascii="微软雅黑" w:hAnsi="微软雅黑" w:eastAsia="微软雅黑"/>
          <w:sz w:val="21"/>
        </w:rPr>
        <w:t xml:space="preserve">所有表必须有 </w:t>
      </w:r>
      <w:r>
        <w:rPr>
          <w:rFonts w:ascii="Consolas" w:hAnsi="Consolas" w:eastAsia="Consolas"/>
          <w:color w:val="DC2626"/>
          <w:sz w:val="19"/>
        </w:rPr>
        <w:t>id</w:t>
      </w:r>
      <w:r>
        <w:rPr>
          <w:rFonts w:ascii="微软雅黑" w:hAnsi="微软雅黑" w:eastAsia="微软雅黑"/>
          <w:sz w:val="21"/>
        </w:rPr>
        <w:t>（UUID）、</w:t>
      </w:r>
      <w:r>
        <w:rPr>
          <w:rFonts w:ascii="Consolas" w:hAnsi="Consolas" w:eastAsia="Consolas"/>
          <w:color w:val="DC2626"/>
          <w:sz w:val="19"/>
        </w:rPr>
        <w:t>created_at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DC2626"/>
          <w:sz w:val="19"/>
        </w:rPr>
        <w:t>updated_at</w:t>
      </w:r>
      <w:r>
        <w:rPr>
          <w:rFonts w:ascii="微软雅黑" w:hAnsi="微软雅黑" w:eastAsia="微软雅黑"/>
          <w:sz w:val="21"/>
        </w:rPr>
        <w:t xml:space="preserve"> 字段</w:t>
      </w:r>
    </w:p>
    <w:p w14:paraId="7675EBE1">
      <w:pPr>
        <w:pStyle w:val="23"/>
        <w:spacing w:after="40"/>
      </w:pPr>
      <w:r>
        <w:rPr>
          <w:rFonts w:ascii="微软雅黑" w:hAnsi="微软雅黑" w:eastAsia="微软雅黑"/>
          <w:sz w:val="21"/>
        </w:rPr>
        <w:t xml:space="preserve">金额字段使用 </w:t>
      </w:r>
      <w:r>
        <w:rPr>
          <w:rFonts w:ascii="Consolas" w:hAnsi="Consolas" w:eastAsia="Consolas"/>
          <w:color w:val="DC2626"/>
          <w:sz w:val="19"/>
        </w:rPr>
        <w:t>NUMERIC(15,2)</w:t>
      </w:r>
      <w:r>
        <w:rPr>
          <w:rFonts w:ascii="微软雅黑" w:hAnsi="微软雅黑" w:eastAsia="微软雅黑"/>
          <w:sz w:val="21"/>
        </w:rPr>
        <w:t xml:space="preserve">，百分比字段使用 </w:t>
      </w:r>
      <w:r>
        <w:rPr>
          <w:rFonts w:ascii="Consolas" w:hAnsi="Consolas" w:eastAsia="Consolas"/>
          <w:color w:val="DC2626"/>
          <w:sz w:val="19"/>
        </w:rPr>
        <w:t>NUMERIC(5,2)</w:t>
      </w:r>
    </w:p>
    <w:p w14:paraId="7B271667">
      <w:pPr>
        <w:pStyle w:val="23"/>
        <w:spacing w:after="40"/>
      </w:pPr>
      <w:r>
        <w:rPr>
          <w:rFonts w:ascii="微软雅黑" w:hAnsi="微软雅黑" w:eastAsia="微软雅黑"/>
          <w:sz w:val="21"/>
        </w:rPr>
        <w:t>枚举值使用 PostgreSQL ENUM 类型或 VARCHAR + CHECK 约束</w:t>
      </w:r>
    </w:p>
    <w:p w14:paraId="1B568536">
      <w:pPr>
        <w:pStyle w:val="23"/>
        <w:spacing w:after="40"/>
      </w:pPr>
      <w:r>
        <w:rPr>
          <w:rFonts w:ascii="微软雅黑" w:hAnsi="微软雅黑" w:eastAsia="微软雅黑"/>
          <w:sz w:val="21"/>
        </w:rPr>
        <w:t xml:space="preserve">表名使用蛇形命名（snake_case），如 </w:t>
      </w:r>
      <w:r>
        <w:rPr>
          <w:rFonts w:ascii="Consolas" w:hAnsi="Consolas" w:eastAsia="Consolas"/>
          <w:color w:val="DC2626"/>
          <w:sz w:val="19"/>
        </w:rPr>
        <w:t>bank_transactions</w:t>
      </w:r>
    </w:p>
    <w:p w14:paraId="610E3979">
      <w:pPr>
        <w:pStyle w:val="14"/>
        <w:spacing w:after="60"/>
      </w:pPr>
      <w:r>
        <w:rPr>
          <w:rFonts w:ascii="微软雅黑" w:hAnsi="微软雅黑" w:eastAsia="微软雅黑"/>
          <w:b/>
          <w:sz w:val="21"/>
        </w:rPr>
        <w:t>API 规范</w:t>
      </w:r>
      <w:r>
        <w:rPr>
          <w:rFonts w:ascii="微软雅黑" w:hAnsi="微软雅黑" w:eastAsia="微软雅黑"/>
          <w:sz w:val="21"/>
        </w:rPr>
        <w:t>：</w:t>
      </w:r>
    </w:p>
    <w:p w14:paraId="094B5881">
      <w:pPr>
        <w:pStyle w:val="23"/>
        <w:spacing w:after="40"/>
      </w:pPr>
      <w:r>
        <w:rPr>
          <w:rFonts w:ascii="微软雅黑" w:hAnsi="微软雅黑" w:eastAsia="微软雅黑"/>
          <w:sz w:val="21"/>
        </w:rPr>
        <w:t xml:space="preserve">RESTful 风格，路径前缀 </w:t>
      </w:r>
      <w:r>
        <w:rPr>
          <w:rFonts w:ascii="Consolas" w:hAnsi="Consolas" w:eastAsia="Consolas"/>
          <w:color w:val="DC2626"/>
          <w:sz w:val="19"/>
        </w:rPr>
        <w:t>/api/v1</w:t>
      </w:r>
    </w:p>
    <w:p w14:paraId="725CC462">
      <w:pPr>
        <w:pStyle w:val="23"/>
        <w:spacing w:after="40"/>
      </w:pPr>
      <w:r>
        <w:rPr>
          <w:rFonts w:ascii="微软雅黑" w:hAnsi="微软雅黑" w:eastAsia="微软雅黑"/>
          <w:sz w:val="21"/>
        </w:rPr>
        <w:t>统一响应格式：</w:t>
      </w:r>
      <w:r>
        <w:rPr>
          <w:rFonts w:ascii="Consolas" w:hAnsi="Consolas" w:eastAsia="Consolas"/>
          <w:color w:val="DC2626"/>
          <w:sz w:val="19"/>
        </w:rPr>
        <w:t>{ "code": 0, "message": "success", "data": {...} }</w:t>
      </w:r>
    </w:p>
    <w:p w14:paraId="43785BAB">
      <w:pPr>
        <w:pStyle w:val="23"/>
        <w:spacing w:after="40"/>
      </w:pPr>
      <w:r>
        <w:rPr>
          <w:rFonts w:ascii="微软雅黑" w:hAnsi="微软雅黑" w:eastAsia="微软雅黑"/>
          <w:sz w:val="21"/>
        </w:rPr>
        <w:t>统一错误码：40001=数据缺失、40002=参数异常、40003=权限不足、50000=服务器内部错误</w:t>
      </w:r>
    </w:p>
    <w:p w14:paraId="7E24C163">
      <w:pPr>
        <w:pStyle w:val="23"/>
        <w:spacing w:after="40"/>
      </w:pPr>
      <w:r>
        <w:rPr>
          <w:rFonts w:hint="eastAsia"/>
          <w:sz w:val="21"/>
          <w:lang w:eastAsia="zh-CN"/>
        </w:rPr>
        <w:t>所有查询类接口（GET）必须有分页参数（page, page_size），默认 page=1, page_size=20；操作类接口（POST/PUT/DELETE）不强制要求分页参数</w:t>
      </w:r>
    </w:p>
    <w:p w14:paraId="63B703DD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1.4 项目目录结构</w:t>
      </w:r>
    </w:p>
    <w:p w14:paraId="54B8B936">
      <w:pPr>
        <w:spacing w:after="120" w:line="360" w:lineRule="exact"/>
      </w:pPr>
      <w:r>
        <w:rPr>
          <w:rFonts w:ascii="微软雅黑" w:hAnsi="微软雅黑" w:eastAsia="微软雅黑"/>
          <w:sz w:val="21"/>
        </w:rPr>
        <w:t>请 Trae 按照以下目录结构生成项目文件：</w:t>
      </w:r>
    </w:p>
    <w:p w14:paraId="4F20E9A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shuizhi-xinpan/</w:t>
      </w:r>
    </w:p>
    <w:p w14:paraId="4C3F49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README.md                          # 项目说明文档</w:t>
      </w:r>
    </w:p>
    <w:p w14:paraId="6958185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docker-compose.yml                 # Docker 编排文件</w:t>
      </w:r>
    </w:p>
    <w:p w14:paraId="0AA936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.env.example                       # 环境变量模板</w:t>
      </w:r>
    </w:p>
    <w:p w14:paraId="49DB8D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backend/                           # 后端（FastAPI）</w:t>
      </w:r>
    </w:p>
    <w:p w14:paraId="280A631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Dockerfile</w:t>
      </w:r>
    </w:p>
    <w:p w14:paraId="720AB0C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requirements.txt</w:t>
      </w:r>
    </w:p>
    <w:p w14:paraId="74694C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alembic.ini                    # 数据库迁移配置</w:t>
      </w:r>
    </w:p>
    <w:p w14:paraId="2E4FE54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alembic/                       # 迁移脚本目录</w:t>
      </w:r>
    </w:p>
    <w:p w14:paraId="2838AC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versions/</w:t>
      </w:r>
    </w:p>
    <w:p w14:paraId="1CE5D03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app/</w:t>
      </w:r>
    </w:p>
    <w:p w14:paraId="724438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__init__.py</w:t>
      </w:r>
    </w:p>
    <w:p w14:paraId="7E47D01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main.py                    # FastAPI 应用入口</w:t>
      </w:r>
    </w:p>
    <w:p w14:paraId="639280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config.py                  # 配置管理</w:t>
      </w:r>
    </w:p>
    <w:p w14:paraId="2613AAB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database.py                # 数据库连接</w:t>
      </w:r>
    </w:p>
    <w:p w14:paraId="798EE2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models/                    # SQLAlchemy 数据模型</w:t>
      </w:r>
    </w:p>
    <w:p w14:paraId="6AFA10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__init__.py</w:t>
      </w:r>
    </w:p>
    <w:p w14:paraId="160EBB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enterprise.py          # 企业信息</w:t>
      </w:r>
    </w:p>
    <w:p w14:paraId="3D34B2B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bank_transaction.py    # 银行流水</w:t>
      </w:r>
    </w:p>
    <w:p w14:paraId="7C1331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invoice.py             # 发票数据</w:t>
      </w:r>
    </w:p>
    <w:p w14:paraId="118ACF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tax_declaration.py     # 纳税申报</w:t>
      </w:r>
    </w:p>
    <w:p w14:paraId="0876E98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contract.py            # 合同台账</w:t>
      </w:r>
    </w:p>
    <w:p w14:paraId="065E489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financial_statement.py # 财务报表</w:t>
      </w:r>
    </w:p>
    <w:p w14:paraId="395BA1C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risk_assessment.py     # 风险评估结果</w:t>
      </w:r>
    </w:p>
    <w:p w14:paraId="7658B3C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psychological_profile.py # 心理画像</w:t>
      </w:r>
    </w:p>
    <w:p w14:paraId="7E1321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└── remediation.py         # 整改追踪</w:t>
      </w:r>
    </w:p>
    <w:p w14:paraId="2E011C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schemas/                   # Pydantic 请求/响应模型</w:t>
      </w:r>
    </w:p>
    <w:p w14:paraId="48BC60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__init__.py</w:t>
      </w:r>
    </w:p>
    <w:p w14:paraId="1303F14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enterprise.py</w:t>
      </w:r>
    </w:p>
    <w:p w14:paraId="2EB2F0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risk.py</w:t>
      </w:r>
    </w:p>
    <w:p w14:paraId="6ABCE5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profile.py</w:t>
      </w:r>
    </w:p>
    <w:p w14:paraId="0A5CAD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simulation.py</w:t>
      </w:r>
    </w:p>
    <w:p w14:paraId="4763C9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└── common.py</w:t>
      </w:r>
    </w:p>
    <w:p w14:paraId="113C706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core/                      # 核心业务逻辑</w:t>
      </w:r>
    </w:p>
    <w:p w14:paraId="4610844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__init__.py</w:t>
      </w:r>
    </w:p>
    <w:p w14:paraId="24B491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four_flow_match.py     # 四流匹配度计算</w:t>
      </w:r>
    </w:p>
    <w:p w14:paraId="0029AB8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risk_engine.py         # 风险识别规则引擎</w:t>
      </w:r>
    </w:p>
    <w:p w14:paraId="65E1B6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profile_engine.py      # 心理画像评分模型</w:t>
      </w:r>
    </w:p>
    <w:p w14:paraId="26C1FA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penalty_calculator.py  # 罚款计算逻辑</w:t>
      </w:r>
    </w:p>
    <w:p w14:paraId="0B3C21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simulation_engine.py   # 沉浸式风险模拟器</w:t>
      </w:r>
    </w:p>
    <w:p w14:paraId="136226E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tax_preference.py      # 税收优惠适用性校验</w:t>
      </w:r>
    </w:p>
    <w:p w14:paraId="3648FD2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└── intervention.py        # 心理干预策略</w:t>
      </w:r>
    </w:p>
    <w:p w14:paraId="205B0E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api/                       # API 路由</w:t>
      </w:r>
    </w:p>
    <w:p w14:paraId="118FE69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__init__.py</w:t>
      </w:r>
    </w:p>
    <w:p w14:paraId="5D49AD0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router.py              # 路由聚合</w:t>
      </w:r>
    </w:p>
    <w:p w14:paraId="7F01967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endpoints/</w:t>
      </w:r>
    </w:p>
    <w:p w14:paraId="71357A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__init__.py</w:t>
      </w:r>
    </w:p>
    <w:p w14:paraId="079D8B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enterprise.py      # 企业管理</w:t>
      </w:r>
    </w:p>
    <w:p w14:paraId="476535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data_import.py     # 数据接入</w:t>
      </w:r>
    </w:p>
    <w:p w14:paraId="467B10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risk_scan.py       # 风险扫描</w:t>
      </w:r>
    </w:p>
    <w:p w14:paraId="4033E95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profile.py         # 心理画像</w:t>
      </w:r>
    </w:p>
    <w:p w14:paraId="349A27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simulation.py      # 风险模拟</w:t>
      </w:r>
    </w:p>
    <w:p w14:paraId="77494C7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├── report.py          # 报告生成</w:t>
      </w:r>
    </w:p>
    <w:p w14:paraId="675D76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│   └── remediation.py     # 整改追踪</w:t>
      </w:r>
    </w:p>
    <w:p w14:paraId="0C9EC1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services/                  # 业务服务层</w:t>
      </w:r>
    </w:p>
    <w:p w14:paraId="5C90824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__init__.py</w:t>
      </w:r>
    </w:p>
    <w:p w14:paraId="11F7B8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enterprise_service.py</w:t>
      </w:r>
    </w:p>
    <w:p w14:paraId="49A5C0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risk_service.py</w:t>
      </w:r>
    </w:p>
    <w:p w14:paraId="10DDFE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profile_service.py</w:t>
      </w:r>
    </w:p>
    <w:p w14:paraId="3F2EF55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simulation_service.py</w:t>
      </w:r>
    </w:p>
    <w:p w14:paraId="4CF8166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└── report_service.py</w:t>
      </w:r>
    </w:p>
    <w:p w14:paraId="1BF5068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utils/                     # 工具函数</w:t>
      </w:r>
    </w:p>
    <w:p w14:paraId="34CE7D5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├── __init__.py</w:t>
      </w:r>
    </w:p>
    <w:p w14:paraId="52D48A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├── response.py            # 统一响应封装</w:t>
      </w:r>
    </w:p>
    <w:p w14:paraId="2CFA791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├── exceptions.py          # 自定义异常</w:t>
      </w:r>
    </w:p>
    <w:p w14:paraId="23ECF7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└── mock_data.py           # 模拟数据生成</w:t>
      </w:r>
    </w:p>
    <w:p w14:paraId="37476D9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└── tests/                         # 测试</w:t>
      </w:r>
    </w:p>
    <w:p w14:paraId="354BEF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__init__.py</w:t>
      </w:r>
    </w:p>
    <w:p w14:paraId="7C4D02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conftest.py</w:t>
      </w:r>
    </w:p>
    <w:p w14:paraId="57DE7F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test_four_flow_match.py</w:t>
      </w:r>
    </w:p>
    <w:p w14:paraId="4C468DD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test_risk_engine.py</w:t>
      </w:r>
    </w:p>
    <w:p w14:paraId="63793EF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test_profile_engine.py</w:t>
      </w:r>
    </w:p>
    <w:p w14:paraId="607C182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test_penalty_calculator.py</w:t>
      </w:r>
    </w:p>
    <w:p w14:paraId="767061C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└── test_api/</w:t>
      </w:r>
    </w:p>
    <w:p w14:paraId="103966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__init__.py</w:t>
      </w:r>
    </w:p>
    <w:p w14:paraId="48122DD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test_risk_scan.py</w:t>
      </w:r>
    </w:p>
    <w:p w14:paraId="29A418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└── test_profile.py</w:t>
      </w:r>
    </w:p>
    <w:p w14:paraId="0F2BE9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frontend/                          # 前端（React + Vite）</w:t>
      </w:r>
    </w:p>
    <w:p w14:paraId="2A28F5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Dockerfile</w:t>
      </w:r>
    </w:p>
    <w:p w14:paraId="3A30ED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package.json</w:t>
      </w:r>
    </w:p>
    <w:p w14:paraId="53695AC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vite.config.ts</w:t>
      </w:r>
    </w:p>
    <w:p w14:paraId="2FF51C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tailwind.config.js</w:t>
      </w:r>
    </w:p>
    <w:p w14:paraId="34D0C8F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tsconfig.json</w:t>
      </w:r>
    </w:p>
    <w:p w14:paraId="4C15F38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index.html</w:t>
      </w:r>
    </w:p>
    <w:p w14:paraId="482D88C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public/</w:t>
      </w:r>
    </w:p>
    <w:p w14:paraId="328D0D1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└── src/</w:t>
      </w:r>
    </w:p>
    <w:p w14:paraId="45EFAB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main.tsx</w:t>
      </w:r>
    </w:p>
    <w:p w14:paraId="0CA5B1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App.tsx</w:t>
      </w:r>
    </w:p>
    <w:p w14:paraId="6A83011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index.css</w:t>
      </w:r>
    </w:p>
    <w:p w14:paraId="59A8E81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router/                    # 路由配置</w:t>
      </w:r>
    </w:p>
    <w:p w14:paraId="5598457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└── index.tsx</w:t>
      </w:r>
    </w:p>
    <w:p w14:paraId="6406BC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stores/                    # Zustand 状态管理</w:t>
      </w:r>
    </w:p>
    <w:p w14:paraId="21AAC81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enterpriseStore.ts</w:t>
      </w:r>
    </w:p>
    <w:p w14:paraId="0788470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riskStore.ts</w:t>
      </w:r>
    </w:p>
    <w:p w14:paraId="5AF388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└── profileStore.ts</w:t>
      </w:r>
    </w:p>
    <w:p w14:paraId="67363D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api/                       # API 请求封装</w:t>
      </w:r>
    </w:p>
    <w:p w14:paraId="22F6D6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request.ts             # axios 实例</w:t>
      </w:r>
    </w:p>
    <w:p w14:paraId="16DD3A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enterprise.ts</w:t>
      </w:r>
    </w:p>
    <w:p w14:paraId="1B3471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risk.ts</w:t>
      </w:r>
    </w:p>
    <w:p w14:paraId="35A2FF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profile.ts</w:t>
      </w:r>
    </w:p>
    <w:p w14:paraId="1CC5BC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└── simulation.ts</w:t>
      </w:r>
    </w:p>
    <w:p w14:paraId="1C01EE5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types/                     # TypeScript 类型定义</w:t>
      </w:r>
    </w:p>
    <w:p w14:paraId="46F30F1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enterprise.ts</w:t>
      </w:r>
    </w:p>
    <w:p w14:paraId="4F413EB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risk.ts</w:t>
      </w:r>
    </w:p>
    <w:p w14:paraId="58D747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profile.ts</w:t>
      </w:r>
    </w:p>
    <w:p w14:paraId="121F61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└── simulation.ts</w:t>
      </w:r>
    </w:p>
    <w:p w14:paraId="750CD2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├── components/                # 通用组件</w:t>
      </w:r>
    </w:p>
    <w:p w14:paraId="55CAD1A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Layout/</w:t>
      </w:r>
    </w:p>
    <w:p w14:paraId="1152BFB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│   ├── MainLayout.tsx</w:t>
      </w:r>
    </w:p>
    <w:p w14:paraId="15CDFA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│   ├── Sidebar.tsx</w:t>
      </w:r>
    </w:p>
    <w:p w14:paraId="24BDE26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│   └── Header.tsx</w:t>
      </w:r>
    </w:p>
    <w:p w14:paraId="4865752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├── common/</w:t>
      </w:r>
    </w:p>
    <w:p w14:paraId="78EB9F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│   ├── RiskBadge.tsx</w:t>
      </w:r>
    </w:p>
    <w:p w14:paraId="34DF8D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│   ├── MetricCard.tsx</w:t>
      </w:r>
    </w:p>
    <w:p w14:paraId="24B930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│   └── LoadingSpinner.tsx</w:t>
      </w:r>
    </w:p>
    <w:p w14:paraId="3E99564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└── charts/</w:t>
      </w:r>
    </w:p>
    <w:p w14:paraId="1171EE0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    ├── RiskMap.tsx        # 风险可视化地图</w:t>
      </w:r>
    </w:p>
    <w:p w14:paraId="65128C1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    ├── RadarChart.tsx     # 心理画像雷达图</w:t>
      </w:r>
    </w:p>
    <w:p w14:paraId="0ABEB91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│       └── ComparisonChart.tsx # 对比图表</w:t>
      </w:r>
    </w:p>
    <w:p w14:paraId="1A3C36D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└── pages/                     # 页面</w:t>
      </w:r>
    </w:p>
    <w:p w14:paraId="5AECE1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Dashboard.tsx          # 数据驾驶舱</w:t>
      </w:r>
    </w:p>
    <w:p w14:paraId="2E4E9FD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RiskScan.tsx           # 风险扫描结果</w:t>
      </w:r>
    </w:p>
    <w:p w14:paraId="4A6085D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RiskMap.tsx            # 风险可视化地图</w:t>
      </w:r>
    </w:p>
    <w:p w14:paraId="2DDEA9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Profile.tsx            # 心理画像仪</w:t>
      </w:r>
    </w:p>
    <w:p w14:paraId="6B209F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Simulator.tsx          # 沉浸式风险模拟器</w:t>
      </w:r>
    </w:p>
    <w:p w14:paraId="17C712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Compliance.tsx         # 合规导航仪</w:t>
      </w:r>
    </w:p>
    <w:p w14:paraId="7F92240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├── Remediation.tsx        # 整改追踪器</w:t>
      </w:r>
    </w:p>
    <w:p w14:paraId="66D74D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└── Report.tsx             # 报告查看</w:t>
      </w:r>
    </w:p>
    <w:p w14:paraId="3EA41B8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└── docs/                              # 项目文档</w:t>
      </w:r>
    </w:p>
    <w:p w14:paraId="5AB774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├── architecture.md                # 架构说明</w:t>
      </w:r>
    </w:p>
    <w:p w14:paraId="3ADB2C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├── api_design.md                  # API 设计文档</w:t>
      </w:r>
    </w:p>
    <w:p w14:paraId="2DCE584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├── ai_collaboration_log.md        # AI协作日志</w:t>
      </w:r>
    </w:p>
    <w:p w14:paraId="210DCB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└── deployment.md                  # 部署说明</w:t>
      </w:r>
    </w:p>
    <w:p w14:paraId="40B2A9A9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第二部分：数据库设计指令</w:t>
      </w:r>
    </w:p>
    <w:p w14:paraId="74676021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2.1 指令文本</w:t>
      </w:r>
    </w:p>
    <w:p w14:paraId="09C9FB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请为「税智·心判」项目设计并实现 PostgreSQL 数据库，使用 SQLAlchemy 2.0 ORM。需要创建以下数据模型文件，每个文件对应一张数据库表。</w:t>
      </w:r>
    </w:p>
    <w:p w14:paraId="21BD391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43F5E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【全局要求】</w:t>
      </w:r>
    </w:p>
    <w:p w14:paraId="427877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所有表包含 id(UUID主键)、created_at、updated_at 字段</w:t>
      </w:r>
    </w:p>
    <w:p w14:paraId="6E95A9C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金额字段使用 Numeric(15,2)，百分比字段使用 Numeric(5,2)</w:t>
      </w:r>
    </w:p>
    <w:p w14:paraId="4DF6D4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使用 SQLAlchemy 2.0 的 Mapped 和 mapped_column 语法</w:t>
      </w:r>
    </w:p>
    <w:p w14:paraId="443338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表名使用 snake_case</w:t>
      </w:r>
    </w:p>
    <w:p w14:paraId="4D14F2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28F16C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【需要创建的表】</w:t>
      </w:r>
    </w:p>
    <w:p w14:paraId="7EAC1A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FD183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enterprises（企业信息表）</w:t>
      </w:r>
    </w:p>
    <w:p w14:paraId="46C39C2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239D809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name: 企业名称</w:t>
      </w:r>
    </w:p>
    <w:p w14:paraId="13FDE64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credit_code: 统一社会信用代码（唯一）</w:t>
      </w:r>
    </w:p>
    <w:p w14:paraId="1B74300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industry: 行业类型（枚举：批发零售/制造/建筑/电商/餐饮服务）</w:t>
      </w:r>
    </w:p>
    <w:p w14:paraId="4F09FCA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revenue_annual: 年营收</w:t>
      </w:r>
    </w:p>
    <w:p w14:paraId="497AAA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employee_count: 员工人数</w:t>
      </w:r>
    </w:p>
    <w:p w14:paraId="268E05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tax_rate_industry: 行业平均税负率</w:t>
      </w:r>
    </w:p>
    <w:p w14:paraId="74F1E7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cost_rate_industry: 行业平均成本费用率</w:t>
      </w:r>
    </w:p>
    <w:p w14:paraId="6B1931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is_high_tech: 是否高新技术企业</w:t>
      </w:r>
    </w:p>
    <w:p w14:paraId="21C9401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is_small_micro: 是否小微企业</w:t>
      </w:r>
    </w:p>
    <w:p w14:paraId="2A1C839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risk_level: 当前风险等级（枚举：low/medium/high）</w:t>
      </w:r>
    </w:p>
    <w:p w14:paraId="178C0E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052BF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bank_transactions（银行流水表）</w:t>
      </w:r>
    </w:p>
    <w:p w14:paraId="513BC1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6579948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 -&gt; enterprises.id</w:t>
      </w:r>
    </w:p>
    <w:p w14:paraId="3E4506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transaction_date: 交易日期</w:t>
      </w:r>
    </w:p>
    <w:p w14:paraId="596C543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amount: 交易金额</w:t>
      </w:r>
    </w:p>
    <w:p w14:paraId="372953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direction: 方向（枚举：inflow/outflow）</w:t>
      </w:r>
    </w:p>
    <w:p w14:paraId="51EBA8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account_type: 账户类型（枚举：corporate/personal）</w:t>
      </w:r>
    </w:p>
    <w:p w14:paraId="0C30E60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account_holder: 账户持有人</w:t>
      </w:r>
    </w:p>
    <w:p w14:paraId="1BC591D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counterparty: 交易对手</w:t>
      </w:r>
    </w:p>
    <w:p w14:paraId="455DFB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description: 交易摘要</w:t>
      </w:r>
    </w:p>
    <w:p w14:paraId="3F174A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is_declared: 是否已申报纳税</w:t>
      </w:r>
    </w:p>
    <w:p w14:paraId="1520C9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B20F0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invoices（发票数据表）</w:t>
      </w:r>
    </w:p>
    <w:p w14:paraId="667B1D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24555E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2B05F5C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invoice_no: 发票号码</w:t>
      </w:r>
    </w:p>
    <w:p w14:paraId="555DA61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invoice_type: 发票类型（枚举：input/output，进项/销项）</w:t>
      </w:r>
    </w:p>
    <w:p w14:paraId="021CF6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invoice_date: 开票日期</w:t>
      </w:r>
    </w:p>
    <w:p w14:paraId="1D5180E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amount: 金额</w:t>
      </w:r>
    </w:p>
    <w:p w14:paraId="2ACAC19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tax_amount: 税额</w:t>
      </w:r>
    </w:p>
    <w:p w14:paraId="457409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total_amount: 价税合计</w:t>
      </w:r>
    </w:p>
    <w:p w14:paraId="79AEF2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product_name: 商品/服务名称</w:t>
      </w:r>
    </w:p>
    <w:p w14:paraId="3F0570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buyer_name: 购方名称</w:t>
      </w:r>
    </w:p>
    <w:p w14:paraId="32D563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seller_name: 销方名称</w:t>
      </w:r>
    </w:p>
    <w:p w14:paraId="21680C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is_digital: 是否数电票</w:t>
      </w:r>
    </w:p>
    <w:p w14:paraId="11E936D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492D4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tax_declarations（纳税申报表）</w:t>
      </w:r>
    </w:p>
    <w:p w14:paraId="7E25A1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2496F47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6C01F89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tax_type: 税种（枚举：vat/income_tax/personal_income_tax）</w:t>
      </w:r>
    </w:p>
    <w:p w14:paraId="614BD0A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period: 申报期间（如 2025-Q1）</w:t>
      </w:r>
    </w:p>
    <w:p w14:paraId="78E747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declared_revenue: 申报收入</w:t>
      </w:r>
    </w:p>
    <w:p w14:paraId="72F6A0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declared_tax: 申报税额</w:t>
      </w:r>
    </w:p>
    <w:p w14:paraId="66D6BEE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actual_paid: 实际缴纳</w:t>
      </w:r>
    </w:p>
    <w:p w14:paraId="5A81BD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declaration_date: 申报日期</w:t>
      </w:r>
    </w:p>
    <w:p w14:paraId="501D7F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718E54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contracts（合同台账表）</w:t>
      </w:r>
    </w:p>
    <w:p w14:paraId="40BA3E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37D996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2C9031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contract_no: 合同编号</w:t>
      </w:r>
    </w:p>
    <w:p w14:paraId="0B95BB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contract_type: 合同类型（枚举：sales/purchase）</w:t>
      </w:r>
    </w:p>
    <w:p w14:paraId="6F9EFE3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counterparty: 合同对方</w:t>
      </w:r>
    </w:p>
    <w:p w14:paraId="32977B6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contract_amount: 合同金额</w:t>
      </w:r>
    </w:p>
    <w:p w14:paraId="73DE91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signing_date: 签订日期</w:t>
      </w:r>
    </w:p>
    <w:p w14:paraId="4DEF2F4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execution_status: 执行状态</w:t>
      </w:r>
    </w:p>
    <w:p w14:paraId="342FD4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454B5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financial_statements（财务报表表）</w:t>
      </w:r>
    </w:p>
    <w:p w14:paraId="2DDA90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3AEAB2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72E3A8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period: 报表期间</w:t>
      </w:r>
    </w:p>
    <w:p w14:paraId="76F5D4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statement_type: 报表类型（枚举：balance_sheet/income_statement/cash_flow）</w:t>
      </w:r>
    </w:p>
    <w:p w14:paraId="16142A8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total_assets: 总资产</w:t>
      </w:r>
    </w:p>
    <w:p w14:paraId="4F4C16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total_revenue: 营业收入</w:t>
      </w:r>
    </w:p>
    <w:p w14:paraId="7DE767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total_cost: 总成本费用</w:t>
      </w:r>
    </w:p>
    <w:p w14:paraId="22A6BC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net_profit: 净利润</w:t>
      </w:r>
    </w:p>
    <w:p w14:paraId="6C0838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operating_cash_flow: 经营活动现金流</w:t>
      </w:r>
    </w:p>
    <w:p w14:paraId="3FC0C4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tax_burden_rate: 税负率</w:t>
      </w:r>
    </w:p>
    <w:p w14:paraId="21EC04C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cost_rate: 成本费用率</w:t>
      </w:r>
    </w:p>
    <w:p w14:paraId="6B28A2F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B829F1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risk_assessments（风险评估结果表）</w:t>
      </w:r>
    </w:p>
    <w:p w14:paraId="1277B11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287C62E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50C7B66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assessment_date: 评估日期</w:t>
      </w:r>
    </w:p>
    <w:p w14:paraId="187518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overall_risk_level: 总体风险等级（枚举：low/medium/high）</w:t>
      </w:r>
    </w:p>
    <w:p w14:paraId="2E35EE2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overall_risk_score: 总体风险评分 Numeric(5,2)</w:t>
      </w:r>
    </w:p>
    <w:p w14:paraId="5AAF47B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four_flow_match_score: 四流匹配度 Numeric(5,2)</w:t>
      </w:r>
    </w:p>
    <w:p w14:paraId="414600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private_card_ratio: 私卡收款占比 Numeric(5,2)</w:t>
      </w:r>
    </w:p>
    <w:p w14:paraId="0D7681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cost_deviation: 成本费用率偏离度 Numeric(5,2)</w:t>
      </w:r>
    </w:p>
    <w:p w14:paraId="1AA50AB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risk_details: JSONB（各维度风险详情，使用PostgreSQL JSONB类型）</w:t>
      </w:r>
    </w:p>
    <w:p w14:paraId="3A29A91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recommendations: JSONB（整改建议，使用PostgreSQL JSONB类型）</w:t>
      </w:r>
    </w:p>
    <w:p w14:paraId="593DF99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44E884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8. psychological_profiles（心理画像表）</w:t>
      </w:r>
    </w:p>
    <w:p w14:paraId="5E5331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5AD23F2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223FDA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assessment_date: 评估日期</w:t>
      </w:r>
    </w:p>
    <w:p w14:paraId="5886512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control_desire_score: 掌控欲得分 Integer</w:t>
      </w:r>
    </w:p>
    <w:p w14:paraId="29E45DC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loss_aversion_score: 损失厌恶得分 Integer</w:t>
      </w:r>
    </w:p>
    <w:p w14:paraId="5A5CB88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optimism_bias_score: 乐观偏差得分 Integer</w:t>
      </w:r>
    </w:p>
    <w:p w14:paraId="29E1886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control_illusion_score: 控制错觉得分 Integer</w:t>
      </w:r>
    </w:p>
    <w:p w14:paraId="16FE5BD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short_termism_score: 短期主义得分 Integer</w:t>
      </w:r>
    </w:p>
    <w:p w14:paraId="408369D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defensiveness_score: 防御心理得分 Integer</w:t>
      </w:r>
    </w:p>
    <w:p w14:paraId="3C9E2E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deviation_index: 偏差指数（0-100标准化）Numeric(5,2)</w:t>
      </w:r>
    </w:p>
    <w:p w14:paraId="679BDA2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dominant_biases: JSONB（主导偏差类型列表，使用PostgreSQL JSONB类型）</w:t>
      </w:r>
    </w:p>
    <w:p w14:paraId="77734FC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intervention_strategy: JSONB（干预策略推荐，使用PostgreSQL JSONB类型）</w:t>
      </w:r>
    </w:p>
    <w:p w14:paraId="4705C86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9B2B1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9. remediation_tasks（整改任务表）</w:t>
      </w:r>
    </w:p>
    <w:p w14:paraId="05EA11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id: UUID主键</w:t>
      </w:r>
    </w:p>
    <w:p w14:paraId="33C161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enterprise_id: 外键</w:t>
      </w:r>
    </w:p>
    <w:p w14:paraId="2929F9E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risk_assessment_id: 外键 -&gt; risk_assessments.id</w:t>
      </w:r>
    </w:p>
    <w:p w14:paraId="78E4A6E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title: 整改任务标题</w:t>
      </w:r>
    </w:p>
    <w:p w14:paraId="7ACF459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description: 任务描述</w:t>
      </w:r>
    </w:p>
    <w:p w14:paraId="11D46FD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priority: 优先级（枚举：high/medium/low）</w:t>
      </w:r>
    </w:p>
    <w:p w14:paraId="6161B1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status: 状态（枚举：pending/in_progress/completed）</w:t>
      </w:r>
    </w:p>
    <w:p w14:paraId="5E0BD5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due_date: 截止日期</w:t>
      </w:r>
    </w:p>
    <w:p w14:paraId="7FA7591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completed_at: 完成时间</w:t>
      </w:r>
    </w:p>
    <w:p w14:paraId="4B235A8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progress: 进度百分比 Numeric(5,2)</w:t>
      </w:r>
    </w:p>
    <w:p w14:paraId="7A6D32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12E2E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请生成完整的 models/ 目录下所有文件，以及 database.py 数据库连接配置和 alembic 迁移初始化配置。</w:t>
      </w:r>
    </w:p>
    <w:p w14:paraId="294211CF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第三部分：核心算法实现指令（最重要）</w:t>
      </w:r>
    </w:p>
    <w:p w14:paraId="7B6A4167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b/>
          <w:sz w:val="21"/>
        </w:rPr>
        <w:t>关键提醒</w:t>
      </w:r>
      <w:r>
        <w:rPr>
          <w:rFonts w:ascii="微软雅黑" w:hAnsi="微软雅黑" w:eastAsia="微软雅黑"/>
          <w:sz w:val="21"/>
        </w:rPr>
        <w:t>：以下算法是本项目的核心知识产权，必须使用规则引擎硬编码实现，</w:t>
      </w:r>
      <w:r>
        <w:rPr>
          <w:rFonts w:ascii="微软雅黑" w:hAnsi="微软雅黑" w:eastAsia="微软雅黑"/>
          <w:b/>
          <w:sz w:val="21"/>
        </w:rPr>
        <w:t>禁止依赖大模型生成计算结果</w:t>
      </w:r>
      <w:r>
        <w:rPr>
          <w:rFonts w:ascii="微软雅黑" w:hAnsi="微软雅黑" w:eastAsia="微软雅黑"/>
          <w:sz w:val="21"/>
        </w:rPr>
        <w:t>。大模型仅可用于报告话术润色。</w:t>
      </w:r>
    </w:p>
    <w:p w14:paraId="0DE2718A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3.1 四流匹配度计算模块</w:t>
      </w:r>
    </w:p>
    <w:p w14:paraId="55DD1F8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backend/app/core/four_flow_match.py 模块，这是模拟金税四期稽查逻辑的核心算法。</w:t>
      </w:r>
    </w:p>
    <w:p w14:paraId="7F325B1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117C79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4EF580A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计算企业"资金流、发票流、货物流、合同流"四流一致性匹配度，输出匹配度评分和风险等级。</w:t>
      </w:r>
    </w:p>
    <w:p w14:paraId="772A3B3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F0362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【计算公式】</w:t>
      </w:r>
    </w:p>
    <w:p w14:paraId="3A32DB7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四流匹配度 = Σ(各流对齐率 × 权重) / 4</w:t>
      </w:r>
    </w:p>
    <w:p w14:paraId="3A856A2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资金流-发票流对齐率 = min(实际收款金额, 发票金额) / max(实际收款金额, 发票金额)</w:t>
      </w:r>
    </w:p>
    <w:p w14:paraId="31CB512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货物流对齐率 = 实际发货数量与发票数量的匹配比例</w:t>
      </w:r>
    </w:p>
    <w:p w14:paraId="788F01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合同流对齐率 = 合同约定金额与实际交易金额的匹配比例</w:t>
      </w:r>
    </w:p>
    <w:p w14:paraId="49A38E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权重分配：资金流0.3、发票流0.3、货物流0.2、合同流0.2</w:t>
      </w:r>
    </w:p>
    <w:p w14:paraId="52DA98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F36C38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【风险等级判定】</w:t>
      </w:r>
    </w:p>
    <w:p w14:paraId="4CB433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= 1 - 匹配度</w:t>
      </w:r>
    </w:p>
    <w:p w14:paraId="7005E1A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&gt; 0.3 → 高风险（high）</w:t>
      </w:r>
    </w:p>
    <w:p w14:paraId="0697B6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0.15 ~ 0.3 → 中风险（medium）</w:t>
      </w:r>
    </w:p>
    <w:p w14:paraId="7BFF9B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&lt; 0.15 → 低风险（low）</w:t>
      </w:r>
    </w:p>
    <w:p w14:paraId="1E5BB1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F8DB4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2B98D1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839D8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575A40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4FB81D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855213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FlowMatchInput(BaseModel):</w:t>
      </w:r>
    </w:p>
    <w:p w14:paraId="6D70CBA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"""四流匹配输入数据"""</w:t>
      </w:r>
    </w:p>
    <w:p w14:paraId="73B8C3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actual_receipt_amount: float        # 实际收款金额</w:t>
      </w:r>
    </w:p>
    <w:p w14:paraId="51A0CED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invoice_amount: float               # 发票金额</w:t>
      </w:r>
    </w:p>
    <w:p w14:paraId="7A13631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actual_delivery_qty: float          # 实际发货数量</w:t>
      </w:r>
    </w:p>
    <w:p w14:paraId="0D653B1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invoice_qty: float                  # 发票数量</w:t>
      </w:r>
    </w:p>
    <w:p w14:paraId="7A3833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contract_amount: float              # 合同约定金额</w:t>
      </w:r>
    </w:p>
    <w:p w14:paraId="0D882D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actual_transaction_amount: float    # 实际交易金额</w:t>
      </w:r>
    </w:p>
    <w:p w14:paraId="7571AA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9D80D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FlowMatchResult(BaseModel):</w:t>
      </w:r>
    </w:p>
    <w:p w14:paraId="3AB6FD6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"""四流匹配结果"""</w:t>
      </w:r>
    </w:p>
    <w:p w14:paraId="48720C8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fund_invoice_alignment: float       # 资金流-发票流对齐率</w:t>
      </w:r>
    </w:p>
    <w:p w14:paraId="422F44E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goods_alignment: float              # 货物流对齐率</w:t>
      </w:r>
    </w:p>
    <w:p w14:paraId="33BE7C6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contract_alignment: float           # 合同流对齐率</w:t>
      </w:r>
    </w:p>
    <w:p w14:paraId="0B2CAA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overall_match_score: float          # 四流匹配度（0-1）</w:t>
      </w:r>
    </w:p>
    <w:p w14:paraId="48B78B3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deviation: float                    # 偏离度</w:t>
      </w:r>
    </w:p>
    <w:p w14:paraId="33715DC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risk_level: Literal["low", "medium", "high"]</w:t>
      </w:r>
    </w:p>
    <w:p w14:paraId="2C9943C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51B03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calculate_four_flow_match(data: FlowMatchInput) -&gt; FlowMatchResult:</w:t>
      </w:r>
    </w:p>
    <w:p w14:paraId="63A220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6BF80E1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计算四流匹配度</w:t>
      </w:r>
    </w:p>
    <w:p w14:paraId="64DAA70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144F47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0FBD35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四流匹配输入数据</w:t>
      </w:r>
    </w:p>
    <w:p w14:paraId="6350D4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31FA2E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36C3FC7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FlowMatchResult: 匹配度计算结果和风险等级</w:t>
      </w:r>
    </w:p>
    <w:p w14:paraId="5F7BF5E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2E0891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Raises:</w:t>
      </w:r>
    </w:p>
    <w:p w14:paraId="1F0E84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ValueError: 当输入金额为负数时抛出</w:t>
      </w:r>
    </w:p>
    <w:p w14:paraId="63DE792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4840C5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2B9F3B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0B29B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【边界条件处理】</w:t>
      </w:r>
    </w:p>
    <w:p w14:paraId="48BCF34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当 max(实际收款金额, 发票金额) = 0 时，对齐率返回 1.0（无交易视为完全匹配）</w:t>
      </w:r>
    </w:p>
    <w:p w14:paraId="794C201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当发票数量 = 0 时，货物流对齐率返回 0.0</w:t>
      </w:r>
    </w:p>
    <w:p w14:paraId="7243AED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当合同金额 = 0 时，合同流对齐率返回 0.0</w:t>
      </w:r>
    </w:p>
    <w:p w14:paraId="6F32615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所有输入金额必须 &gt;= 0，负数抛出 ValueError</w:t>
      </w:r>
    </w:p>
    <w:p w14:paraId="3DFE82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3B283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请同时生成对应的单元测试文件 tests/test_four_flow_match.py，覆盖以下场景：</w:t>
      </w:r>
    </w:p>
    <w:p w14:paraId="6078779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正常匹配（偏离度 &lt; 0.15）</w:t>
      </w:r>
    </w:p>
    <w:p w14:paraId="33F2BC0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中风险（偏离度 0.15-0.3）</w:t>
      </w:r>
    </w:p>
    <w:p w14:paraId="08BBA66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高风险（偏离度 &gt; 0.3）</w:t>
      </w:r>
    </w:p>
    <w:p w14:paraId="0C0302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零值边界（金额为0的情况）</w:t>
      </w:r>
    </w:p>
    <w:p w14:paraId="79FD42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负数异常（应抛出 ValueError）</w:t>
      </w:r>
    </w:p>
    <w:p w14:paraId="69254D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完全匹配（所有流完全一致）</w:t>
      </w:r>
    </w:p>
    <w:p w14:paraId="1BCF8FB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完全不匹配（所有流完全不一致）</w:t>
      </w:r>
    </w:p>
    <w:p w14:paraId="03E2748A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3.2 风险识别规则引擎</w:t>
      </w:r>
    </w:p>
    <w:p w14:paraId="04D49C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backend/app/core/risk_engine.py 模块，模拟金税四期稽查逻辑的风险识别规则引擎。</w:t>
      </w:r>
    </w:p>
    <w:p w14:paraId="7610D40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25F98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6227E1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对企业的银行流水、发票数据、纳税申报、财务报表等数据进行综合分析，识别以下风险维度：</w:t>
      </w:r>
    </w:p>
    <w:p w14:paraId="736E1C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私卡收款风险</w:t>
      </w:r>
    </w:p>
    <w:p w14:paraId="6FA32B2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大额公转私风险</w:t>
      </w:r>
    </w:p>
    <w:p w14:paraId="67F8BA5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成本费用异常风险</w:t>
      </w:r>
    </w:p>
    <w:p w14:paraId="487C656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进销项品名不匹配风险</w:t>
      </w:r>
    </w:p>
    <w:p w14:paraId="46952CE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税负率异常风险</w:t>
      </w:r>
    </w:p>
    <w:p w14:paraId="3CCDFCC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四流不一致风险</w:t>
      </w:r>
    </w:p>
    <w:p w14:paraId="1B0BAC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税收优惠适用性风险</w:t>
      </w:r>
    </w:p>
    <w:p w14:paraId="558C53D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BF4D37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【风险识别规则】</w:t>
      </w:r>
    </w:p>
    <w:p w14:paraId="34A0ADB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6B8F33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规则1：私卡收款风险</w:t>
      </w:r>
    </w:p>
    <w:p w14:paraId="413C3C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输入：私卡收款金额 / 总收款金额 = 私卡收款占比</w:t>
      </w:r>
    </w:p>
    <w:p w14:paraId="4EC8DA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私卡收款占比 &gt; 30% → 高风险</w:t>
      </w:r>
    </w:p>
    <w:p w14:paraId="16540B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私卡收款占比 10%-30% → 中风险</w:t>
      </w:r>
    </w:p>
    <w:p w14:paraId="3FE37C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私卡收款占比 &lt; 10% → 低风险</w:t>
      </w:r>
    </w:p>
    <w:p w14:paraId="3AC12A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470F6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规则2：大额公转私风险</w:t>
      </w:r>
    </w:p>
    <w:p w14:paraId="78BB46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输入：单笔公转私金额 &gt; 50000元的交易笔数</w:t>
      </w:r>
    </w:p>
    <w:p w14:paraId="206A40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笔数 &gt; 10 → 高风险</w:t>
      </w:r>
    </w:p>
    <w:p w14:paraId="6D8AE97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笔数 3-10 → 中风险</w:t>
      </w:r>
    </w:p>
    <w:p w14:paraId="57AA6C7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笔数 &lt; 3 → 低风险</w:t>
      </w:r>
    </w:p>
    <w:p w14:paraId="77B0B8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9A8E96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规则3：成本费用异常风险</w:t>
      </w:r>
    </w:p>
    <w:p w14:paraId="205E90B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输入：企业成本费用率 vs 行业平均成本费用率</w:t>
      </w:r>
    </w:p>
    <w:p w14:paraId="337EEF5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= |企业成本费用率 - 行业平均| / 行业平均</w:t>
      </w:r>
    </w:p>
    <w:p w14:paraId="1C4A80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&gt; 30% → 高风险</w:t>
      </w:r>
    </w:p>
    <w:p w14:paraId="00139D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15%-30% → 中风险</w:t>
      </w:r>
    </w:p>
    <w:p w14:paraId="19927C7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偏离度 &lt; 15% → 低风险</w:t>
      </w:r>
    </w:p>
    <w:p w14:paraId="2C9CDA7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3BBB1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规则4：进销项品名不匹配风险</w:t>
      </w:r>
    </w:p>
    <w:p w14:paraId="34951E7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输入：进项发票品名集合 vs 销项发票品名集合</w:t>
      </w:r>
    </w:p>
    <w:p w14:paraId="2F6BD4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匹配率 = 交集品名数 / 并集品名数</w:t>
      </w:r>
    </w:p>
    <w:p w14:paraId="6D72FD9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匹配率 &lt; 0.3 → 高风险</w:t>
      </w:r>
    </w:p>
    <w:p w14:paraId="772536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匹配率 0.3-0.6 → 中风险</w:t>
      </w:r>
    </w:p>
    <w:p w14:paraId="270AA9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匹配率 &gt; 0.6 → 低风险</w:t>
      </w:r>
    </w:p>
    <w:p w14:paraId="70D29EA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D60D07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规则5：税负率异常风险</w:t>
      </w:r>
    </w:p>
    <w:p w14:paraId="1FACD84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输入：企业实际税负率 vs 行业平均税负率</w:t>
      </w:r>
    </w:p>
    <w:p w14:paraId="6E8147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当企业税负率 &lt; 行业平均的50% 且未申请任何税收优惠 → 高风险</w:t>
      </w:r>
    </w:p>
    <w:p w14:paraId="4C4D2FE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当企业税负率 &lt; 行业平均的70% → 中风险</w:t>
      </w:r>
    </w:p>
    <w:p w14:paraId="60E6F52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否则 → 低风险</w:t>
      </w:r>
    </w:p>
    <w:p w14:paraId="794928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40BAD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规则6：四流不一致风险</w:t>
      </w:r>
    </w:p>
    <w:p w14:paraId="582BB2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调用 four_flow_match 模块的 calculate_four_flow_match 函数</w:t>
      </w:r>
    </w:p>
    <w:p w14:paraId="28DDD2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直接使用其返回的 risk_level</w:t>
      </w:r>
    </w:p>
    <w:p w14:paraId="0894595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CAC2F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规则7：税收优惠适用性风险</w:t>
      </w:r>
    </w:p>
    <w:p w14:paraId="16E2D0B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检查小微企业优惠条件：从业人数≤300、资产≤5000万、所得≤300万</w:t>
      </w:r>
    </w:p>
    <w:p w14:paraId="7D6C54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如果企业享受了小微优惠但条件不满足 → 高风险</w:t>
      </w:r>
    </w:p>
    <w:p w14:paraId="5EF511F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如果企业未享受优惠但条件满足 → 中风险（应享未享）</w:t>
      </w:r>
    </w:p>
    <w:p w14:paraId="03ABCE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如果企业享受了优惠且条件满足 → 低风险</w:t>
      </w:r>
    </w:p>
    <w:p w14:paraId="350B91D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7DED4F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【总体风险评分计算】</w:t>
      </w:r>
    </w:p>
    <w:p w14:paraId="7B7B2CA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总体风险评分 = Σ(各维度风险得分) / 维度数量</w:t>
      </w:r>
    </w:p>
    <w:p w14:paraId="34BFF29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高风险 = 100分，中风险 = 50分，低风险 = 10分</w:t>
      </w:r>
    </w:p>
    <w:p w14:paraId="4A5CA55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总体风险等级：</w:t>
      </w:r>
    </w:p>
    <w:p w14:paraId="7A12881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- 评分 &gt;= 70 → high</w:t>
      </w:r>
    </w:p>
    <w:p w14:paraId="6ABC706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- 评分 40-70 → medium</w:t>
      </w:r>
    </w:p>
    <w:p w14:paraId="5CF7837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- 评分 &lt; 40 → low</w:t>
      </w:r>
    </w:p>
    <w:p w14:paraId="1F1B79F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一票否决规则：当任意单维度风险为 high 时，总体风险等级至少为 medium（即使加权评分 &lt; 40）</w:t>
      </w:r>
    </w:p>
    <w:p w14:paraId="7F7D36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12D22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4CC4645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16D5B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49E8FE2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116B92B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10B64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RiskScanInput(BaseModel):</w:t>
      </w:r>
    </w:p>
    <w:p w14:paraId="7BD21E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"""风险扫描输入"""</w:t>
      </w:r>
    </w:p>
    <w:p w14:paraId="5A8A865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enterprise_id: str</w:t>
      </w:r>
    </w:p>
    <w:p w14:paraId="355AA67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total_receipt_amount: float           # 总收款金额</w:t>
      </w:r>
    </w:p>
    <w:p w14:paraId="23674F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private_card_receipt_amount: float    # 私卡收款金额</w:t>
      </w:r>
    </w:p>
    <w:p w14:paraId="6ECCA5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large_transfer_count: int             # 大额公转私笔数</w:t>
      </w:r>
    </w:p>
    <w:p w14:paraId="465DC7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cost_rate: float                      # 企业成本费用率</w:t>
      </w:r>
    </w:p>
    <w:p w14:paraId="7E92B3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industry_cost_rate: float             # 行业平均成本费用率</w:t>
      </w:r>
    </w:p>
    <w:p w14:paraId="029C8E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tax_burden_rate: float                # 企业税负率</w:t>
      </w:r>
    </w:p>
    <w:p w14:paraId="0652820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industry_tax_burden_rate: float       # 行业平均税负率</w:t>
      </w:r>
    </w:p>
    <w:p w14:paraId="71DF4F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input_product_names: list[str]        # 进项品名列表</w:t>
      </w:r>
    </w:p>
    <w:p w14:paraId="3B4F8A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output_product_names: list[str]       # 销项品名列表</w:t>
      </w:r>
    </w:p>
    <w:p w14:paraId="7C20E4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four_flow_data: FlowMatchInput        # 四流匹配输入</w:t>
      </w:r>
    </w:p>
    <w:p w14:paraId="2D51DD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employee_count: int                   # 员工人数</w:t>
      </w:r>
    </w:p>
    <w:p w14:paraId="44E7CFD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total_assets: float                   # 总资产</w:t>
      </w:r>
    </w:p>
    <w:p w14:paraId="6B4331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annual_profit: float                  # 年度应纳税所得额</w:t>
      </w:r>
    </w:p>
    <w:p w14:paraId="39B8D5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has_small_micro_benefit: bool         # 是否享受小微优惠</w:t>
      </w:r>
    </w:p>
    <w:p w14:paraId="7F6B01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02082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RiskDimensionResult(BaseModel):</w:t>
      </w:r>
    </w:p>
    <w:p w14:paraId="1FF8575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"""单维度风险结果"""</w:t>
      </w:r>
    </w:p>
    <w:p w14:paraId="41BB04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dimension: str                        # 风险维度名称</w:t>
      </w:r>
    </w:p>
    <w:p w14:paraId="42C66C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risk_level: Literal["low", "medium", "high"]</w:t>
      </w:r>
    </w:p>
    <w:p w14:paraId="06F8FA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risk_score: float                     # 风险得分</w:t>
      </w:r>
    </w:p>
    <w:p w14:paraId="525E46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detail: str                           # 风险描述（商业语言）</w:t>
      </w:r>
    </w:p>
    <w:p w14:paraId="606CE26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technical_detail: str                 # 技术描述（财务语言）</w:t>
      </w:r>
    </w:p>
    <w:p w14:paraId="21AE062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FDC3D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RiskScanResult(BaseModel):</w:t>
      </w:r>
    </w:p>
    <w:p w14:paraId="15828B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"""风险扫描总结果"""</w:t>
      </w:r>
    </w:p>
    <w:p w14:paraId="7A912C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overall_risk_level: Literal["low", "medium", "high"]</w:t>
      </w:r>
    </w:p>
    <w:p w14:paraId="7083CA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overall_risk_score: float</w:t>
      </w:r>
    </w:p>
    <w:p w14:paraId="785FCB9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dimensions: list[RiskDimensionResult]</w:t>
      </w:r>
    </w:p>
    <w:p w14:paraId="78D939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recommendations: list[str]            # 整改建议</w:t>
      </w:r>
    </w:p>
    <w:p w14:paraId="75EA2E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94ED1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scan_risks(data: RiskScanInput) -&gt; RiskScanResult:</w:t>
      </w:r>
    </w:p>
    <w:p w14:paraId="4A5567B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1812F30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执行风险扫描，识别企业各维度财税风险</w:t>
      </w:r>
    </w:p>
    <w:p w14:paraId="63F363E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1E584D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07FA6AE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风险扫描输入数据</w:t>
      </w:r>
    </w:p>
    <w:p w14:paraId="1093D1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592CA3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0814580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RiskScanResult: 风险扫描结果，包含各维度风险和总体评分</w:t>
      </w:r>
    </w:p>
    <w:p w14:paraId="5862935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0C5A5B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5B333D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57A577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【商业语言/技术语言双轨输出要求】</w:t>
      </w:r>
    </w:p>
    <w:p w14:paraId="5896DE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每个风险维度的 detail 字段使用商业语言（面向老板），technical_detail 字段使用技术语言（面向财务）。映射关系如下：</w:t>
      </w:r>
    </w:p>
    <w:p w14:paraId="6D1C154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6CE63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| 风险维度 | 商业语言（detail） | 技术语言（technical_detail） |</w:t>
      </w:r>
    </w:p>
    <w:p w14:paraId="4E4439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|---------|-------------------|---------------------------|</w:t>
      </w:r>
    </w:p>
    <w:p w14:paraId="23BDC2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| 私卡收款 | "您的资金通道存在合规隐患" | "个人账户经营性收款未申报，涉嫌隐匿收入" |</w:t>
      </w:r>
    </w:p>
    <w:p w14:paraId="686920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| 虚开发票 | "您的采购链条存在证据链缺口" | "进项发票与物流、合同信息不匹配" |</w:t>
      </w:r>
    </w:p>
    <w:p w14:paraId="73995D4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| 两套账 | "您的财务数据存在一致性异常" | "申报数据与经营数据偏离度超标" |</w:t>
      </w:r>
    </w:p>
    <w:p w14:paraId="525B70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| 税收优惠错误适用 | "您可能错失了应享的税收红利" | "税收优惠政策适用条件不符合" |</w:t>
      </w:r>
    </w:p>
    <w:p w14:paraId="340D2F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72020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请同时生成 tests/test_risk_engine.py，覆盖：</w:t>
      </w:r>
    </w:p>
    <w:p w14:paraId="230DD3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正常企业（所有维度低风险）</w:t>
      </w:r>
    </w:p>
    <w:p w14:paraId="7D25D88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轻度风险企业（部分维度中风险）</w:t>
      </w:r>
    </w:p>
    <w:p w14:paraId="2F3D15C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重度风险企业（多个维度高风险）</w:t>
      </w:r>
    </w:p>
    <w:p w14:paraId="7C41185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各维度边界值测试</w:t>
      </w:r>
    </w:p>
    <w:p w14:paraId="5F408ED4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3.3 心理画像评分模型</w:t>
      </w:r>
    </w:p>
    <w:p w14:paraId="27A568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backend/app/core/profile_engine.py 模块，这是本项目的核心创新功能——基于行为经济学推断老板的认知偏差类型。</w:t>
      </w:r>
    </w:p>
    <w:p w14:paraId="08D6343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22241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3DD0A1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基于8项行为数据变量，通过规则评分模型推断老板的6类认知偏差，输出心理画像卡和偏差指数。</w:t>
      </w:r>
    </w:p>
    <w:p w14:paraId="1A5C561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AF1EB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【重要声明】</w:t>
      </w:r>
    </w:p>
    <w:p w14:paraId="026E919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本功能是启发式风险提示工具，旨在帮助老板意识到"可能存在"的心理偏差，而非专业的心理学诊断工具。画像结果仅作为风险沟通的辅助手段，不替代专业财税咨询。请在代码注释和API响应中包含此免责声明。</w:t>
      </w:r>
    </w:p>
    <w:p w14:paraId="1B56DB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B76CC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【六大偏差及评分规则】</w:t>
      </w:r>
    </w:p>
    <w:p w14:paraId="1A11C0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0509F6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偏差1：掌控欲（Control Desire）</w:t>
      </w:r>
    </w:p>
    <w:p w14:paraId="0726E8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规则1：法人个人卡交易笔数 &gt; 公户交易笔数 → +10分</w:t>
      </w:r>
    </w:p>
    <w:p w14:paraId="2E5AF7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规则2：私卡收款占比 &gt; 30% → +5分（附加）</w:t>
      </w:r>
    </w:p>
    <w:p w14:paraId="7A9E180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B9579D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偏差2：损失厌恶（Loss Aversion）</w:t>
      </w:r>
    </w:p>
    <w:p w14:paraId="6C19A6E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规则1：企业税负率显著低于行业均值（&lt;50%）但未申请任何税收优惠 → +10分</w:t>
      </w:r>
    </w:p>
    <w:p w14:paraId="30F9229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规则2：存在买发票虚增成本的行为（进销项品名严重不匹配） → +5分（附加）</w:t>
      </w:r>
    </w:p>
    <w:p w14:paraId="1BB457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C72EC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偏差3：乐观偏差（Optimism Bias）</w:t>
      </w:r>
    </w:p>
    <w:p w14:paraId="77562E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规则1：成本费用率偏离行业均值连续3个月 &gt; 20% → +10分</w:t>
      </w:r>
    </w:p>
    <w:p w14:paraId="5FAC32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规则2：账目调整频率季度 &gt; 3次 → +5分</w:t>
      </w:r>
    </w:p>
    <w:p w14:paraId="34FA6E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08F34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偏差4：控制错觉（Control Illusion）</w:t>
      </w:r>
    </w:p>
    <w:p w14:paraId="345F03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规则1：私卡收款占比 &gt; 30% → +10分</w:t>
      </w:r>
    </w:p>
    <w:p w14:paraId="5FBBBD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规则2：年度税务咨询频率 &lt; 1次 → +5分</w:t>
      </w:r>
    </w:p>
    <w:p w14:paraId="24D5702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F9531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偏差5：短期主义（Short Termism）</w:t>
      </w:r>
    </w:p>
    <w:p w14:paraId="5B125DD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规则1：享受税收优惠但未核查适用条件 → +10分</w:t>
      </w:r>
    </w:p>
    <w:p w14:paraId="67EDF73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规则2：历史稽查发现问题后未整改 → +5分（附加）</w:t>
      </w:r>
    </w:p>
    <w:p w14:paraId="63567E6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6F8A6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偏差6：防御心理（Defensiveness）</w:t>
      </w:r>
    </w:p>
    <w:p w14:paraId="0F6A57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规则1：历史稽查/自查发现问题后未整改 → +10分</w:t>
      </w:r>
    </w:p>
    <w:p w14:paraId="339F36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规则2：存在两套账嫌疑（申报数据与经营数据严重偏离） → +5分（附加）</w:t>
      </w:r>
    </w:p>
    <w:p w14:paraId="764E7E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053C69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【偏差指数计算】</w:t>
      </w:r>
    </w:p>
    <w:p w14:paraId="774DD6A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各偏差维度得分加总</w:t>
      </w:r>
    </w:p>
    <w:p w14:paraId="121A2FE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计算实际理论最高分：根据上述评分规则，每个偏差的理论最高得分为：</w:t>
      </w:r>
    </w:p>
    <w:p w14:paraId="4AF55F8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掌控欲：10+5=15分</w:t>
      </w:r>
    </w:p>
    <w:p w14:paraId="3A8F7CA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损失厌恶：10+5=15分</w:t>
      </w:r>
    </w:p>
    <w:p w14:paraId="2515FD0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乐观偏差：10+5=15分</w:t>
      </w:r>
    </w:p>
    <w:p w14:paraId="12E5A89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控制错觉：10+5=15分</w:t>
      </w:r>
    </w:p>
    <w:p w14:paraId="237CE17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短期主义：10+5=15分</w:t>
      </w:r>
    </w:p>
    <w:p w14:paraId="4EB5AE4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防御心理：10+5=15分</w:t>
      </w:r>
    </w:p>
    <w:p w14:paraId="48158FB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六维度合计理论最高分 = 90分</w:t>
      </w:r>
    </w:p>
    <w:p w14:paraId="3105ADD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标准化至0-100分：偏差指数 = (总得分 / 90) × 100，上限封顶100分</w:t>
      </w:r>
    </w:p>
    <w:p w14:paraId="6CD559D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与同规模企业平均值（模拟基准线52分）对比</w:t>
      </w:r>
    </w:p>
    <w:p w14:paraId="7B67FE1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077AD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【画像输出逻辑】</w:t>
      </w:r>
    </w:p>
    <w:p w14:paraId="1F7FCD4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取得分最高的2个偏差作为"主导偏差"</w:t>
      </w:r>
    </w:p>
    <w:p w14:paraId="7B4F734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偏差指数 &gt; 70 → "高风险决策模式"</w:t>
      </w:r>
    </w:p>
    <w:p w14:paraId="0ED573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偏差指数 50-70 → "中等风险决策模式"</w:t>
      </w:r>
    </w:p>
    <w:p w14:paraId="4181C4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偏差指数 &lt; 50 → "相对理性决策模式"</w:t>
      </w:r>
    </w:p>
    <w:p w14:paraId="6D0898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40A1F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1E2A3B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31C16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3FBFACE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6BB7D05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84D92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ProfileInput(BaseModel):</w:t>
      </w:r>
    </w:p>
    <w:p w14:paraId="2C92ED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"""心理画像输入（8项行为变量）"""</w:t>
      </w:r>
    </w:p>
    <w:p w14:paraId="700FE1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private_card_ratio: float             # 私卡收款占比（0-1）</w:t>
      </w:r>
    </w:p>
    <w:p w14:paraId="5896B4D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personal_card_tx_count: int           # 法人个人卡交易笔数</w:t>
      </w:r>
    </w:p>
    <w:p w14:paraId="6545930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corporate_card_tx_count: int          # 公户交易笔数</w:t>
      </w:r>
    </w:p>
    <w:p w14:paraId="1A43BDF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annual_tax_consult_count: int         # 年度税务咨询频率</w:t>
      </w:r>
    </w:p>
    <w:p w14:paraId="0FADC2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cost_rate_deviation_months: int       # 成本费用率偏离行业均值&gt;20%的连续月数</w:t>
      </w:r>
    </w:p>
    <w:p w14:paraId="00ED90F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quarterly_adjustment_count: int       # 季度账目调整次数</w:t>
      </w:r>
    </w:p>
    <w:p w14:paraId="1813C2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tax_burden_vs_industry: float         # 企业税负率/行业平均税负率（比值）</w:t>
      </w:r>
    </w:p>
    <w:p w14:paraId="670CE34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has_applied_tax_benefit: bool         # 是否申请了税收优惠</w:t>
      </w:r>
    </w:p>
    <w:p w14:paraId="1B25CC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has_verified_benefit_conditions: bool # 是否核查了优惠适用条件</w:t>
      </w:r>
    </w:p>
    <w:p w14:paraId="5CF6EB9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has_unremediated_issues: bool         # 历史稽查发现问题后是否未整改</w:t>
      </w:r>
    </w:p>
    <w:p w14:paraId="58D265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input_output_mismatch: bool           # 进销项品名是否严重不匹配</w:t>
      </w:r>
    </w:p>
    <w:p w14:paraId="3B5F857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declaration_deviation: bool           # 申报数据与经营数据是否严重偏离</w:t>
      </w:r>
    </w:p>
    <w:p w14:paraId="4BD56C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BE270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BiasScore(BaseModel):</w:t>
      </w:r>
    </w:p>
    <w:p w14:paraId="4E0BC19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"""单维度偏差评分"""</w:t>
      </w:r>
    </w:p>
    <w:p w14:paraId="08E1821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bias_type: str                        # 偏差类型</w:t>
      </w:r>
    </w:p>
    <w:p w14:paraId="7A957BB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score: int                            # 得分</w:t>
      </w:r>
    </w:p>
    <w:p w14:paraId="6F2076A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triggered_rules: list[str]            # 触发的规则描述</w:t>
      </w:r>
    </w:p>
    <w:p w14:paraId="717B0EB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D9841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ProfileResult(BaseModel):</w:t>
      </w:r>
    </w:p>
    <w:p w14:paraId="33CFED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"""心理画像结果"""</w:t>
      </w:r>
    </w:p>
    <w:p w14:paraId="2E42E9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control_desire: BiasScore             # 掌控欲</w:t>
      </w:r>
    </w:p>
    <w:p w14:paraId="4F80541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loss_aversion: BiasScore              # 损失厌恶</w:t>
      </w:r>
    </w:p>
    <w:p w14:paraId="3F84435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optimism_bias: BiasScore              # 乐观偏差</w:t>
      </w:r>
    </w:p>
    <w:p w14:paraId="4A9223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control_illusion: BiasScore           # 控制错觉</w:t>
      </w:r>
    </w:p>
    <w:p w14:paraId="4279948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short_termism: BiasScore              # 短期主义</w:t>
      </w:r>
    </w:p>
    <w:p w14:paraId="225987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defensiveness: BiasScore              # 防御心理</w:t>
      </w:r>
    </w:p>
    <w:p w14:paraId="17281B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total_score: int                      # 总得分</w:t>
      </w:r>
    </w:p>
    <w:p w14:paraId="1F060A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deviation_index: float                # 偏差指数（0-100）</w:t>
      </w:r>
    </w:p>
    <w:p w14:paraId="72656C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dominant_biases: list[str]            # 主导偏差（前2名）</w:t>
      </w:r>
    </w:p>
    <w:p w14:paraId="15DCC1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risk_pattern: Literal["high", "medium", "low"]  # 决策模式风险等级</w:t>
      </w:r>
    </w:p>
    <w:p w14:paraId="71191B1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interpretation: str                   # 画像解读文本</w:t>
      </w:r>
    </w:p>
    <w:p w14:paraId="133C6D8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disclaimer: str                       # 免责声明</w:t>
      </w:r>
    </w:p>
    <w:p w14:paraId="0B457D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47C20F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generate_profile(data: ProfileInput) -&gt; ProfileResult:</w:t>
      </w:r>
    </w:p>
    <w:p w14:paraId="3F072C3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737C5A6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基于行为数据生成老板的心理画像</w:t>
      </w:r>
    </w:p>
    <w:p w14:paraId="7F0CB2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253436C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2720D75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8项行为变量输入</w:t>
      </w:r>
    </w:p>
    <w:p w14:paraId="407081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4DDD79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4966312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ProfileResult: 心理画像结果，包含6大偏差评分和偏差指数</w:t>
      </w:r>
    </w:p>
    <w:p w14:paraId="2BCF076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240482E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4590AEF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63F62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【画像解读文本生成规则】</w:t>
      </w:r>
    </w:p>
    <w:p w14:paraId="7BD957A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根据主导偏差类型生成个性化解读文本，例如：</w:t>
      </w:r>
    </w:p>
    <w:p w14:paraId="0F72D2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主导偏差为"乐观偏差+控制错觉"时：</w:t>
      </w:r>
    </w:p>
    <w:p w14:paraId="57A27DE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"您倾向于低估财税风险的概率，同时高估自己'摆平问题'的能力。在金税四期的大数据监管下，这种决策模式的风险系数较高。"</w:t>
      </w:r>
    </w:p>
    <w:p w14:paraId="4C7558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主导偏差为"损失厌恶+短期主义"时：</w:t>
      </w:r>
    </w:p>
    <w:p w14:paraId="276D46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"您对短期成本支出高度敏感，可能因此忽视了长期的合规风险。用短期小利赌长期身家安全，在数字化监管面前代价极高。"</w:t>
      </w:r>
    </w:p>
    <w:p w14:paraId="2A8238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DC05D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【免责声明（固定文本）】</w:t>
      </w:r>
    </w:p>
    <w:p w14:paraId="132651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"本心理画像基于行为经济学理论的启发式推断，旨在帮助您识别可能存在的决策偏差，不构成专业的心理学诊断。画像结果仅作为风险沟通的辅助参考，不替代专业财税咨询服务。"</w:t>
      </w:r>
    </w:p>
    <w:p w14:paraId="318AEE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BB90C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请同时生成 tests/test_profile_engine.py，覆盖：</w:t>
      </w:r>
    </w:p>
    <w:p w14:paraId="5BD4EC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六大偏差单独触发场景</w:t>
      </w:r>
    </w:p>
    <w:p w14:paraId="4A92F91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多偏差组合场景</w:t>
      </w:r>
    </w:p>
    <w:p w14:paraId="10505F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边界值（如税负率恰好等于行业均值50%）</w:t>
      </w:r>
    </w:p>
    <w:p w14:paraId="09A436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偏差指数标准化计算验证</w:t>
      </w:r>
    </w:p>
    <w:p w14:paraId="4384E1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主导偏差排序逻辑验证</w:t>
      </w:r>
    </w:p>
    <w:p w14:paraId="7E5C2239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3.4 罚款计算逻辑</w:t>
      </w:r>
    </w:p>
    <w:p w14:paraId="409831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backend/app/core/penalty_calculator.py 模块，依据《税收征管法》第六十三条计算偷税罚款。</w:t>
      </w:r>
    </w:p>
    <w:p w14:paraId="5EAD6B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83BECE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【法律依据】</w:t>
      </w:r>
    </w:p>
    <w:p w14:paraId="6A2106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《中华人民共和国税收征收管理法》第六十三条：</w:t>
      </w:r>
    </w:p>
    <w:p w14:paraId="5D69AA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纳税人伪造、变造、隐匿、擅自销毁账簿、记账凭证，或者在账簿上多列支出或者不列、少列收入，或者经税务机关通知申报而拒不申报或者进行虚假的纳税申报，不缴或者少缴应纳税款的，是偷税。对纳税人偷税的，由税务机关追缴其不缴或者少缴的税款、滞纳金，并处不缴或者少缴的税款百分之五十以上五倍以下的罚款；构成犯罪的，依法追究刑事责任。</w:t>
      </w:r>
    </w:p>
    <w:p w14:paraId="6F5356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BE189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【计算规则】</w:t>
      </w:r>
    </w:p>
    <w:p w14:paraId="711A7B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偷税罚款为不缴或少缴税款的50%-500%，系区间而非固定值。</w:t>
      </w:r>
    </w:p>
    <w:p w14:paraId="796A874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本系统按风险等级分段加权计算期望罚款额：</w:t>
      </w:r>
    </w:p>
    <w:p w14:paraId="64D3092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低风险：取下限 50%（0.5倍）</w:t>
      </w:r>
    </w:p>
    <w:p w14:paraId="1FC344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中风险：取中位偏下 150%（1.5倍）</w:t>
      </w:r>
    </w:p>
    <w:p w14:paraId="31F8780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高风险：取中位偏上 350%（3.5倍）</w:t>
      </w:r>
    </w:p>
    <w:p w14:paraId="4EB72A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39AFEF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【滞纳金计算】</w:t>
      </w:r>
    </w:p>
    <w:p w14:paraId="7490AE2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滞纳金 = 未缴税款 × 0.05% × 滞纳天数</w:t>
      </w:r>
    </w:p>
    <w:p w14:paraId="4BFEC6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滞纳天数从法定纳税期限届满次日起算至实际缴纳日</w:t>
      </w:r>
    </w:p>
    <w:p w14:paraId="2AD6B7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D2DCDE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17EB17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A134BC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392ABAB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57F06AC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7DBFB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PenaltyInput(BaseModel):</w:t>
      </w:r>
    </w:p>
    <w:p w14:paraId="7F0A36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"""罚款计算输入"""</w:t>
      </w:r>
    </w:p>
    <w:p w14:paraId="2252376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unpaid_tax_amount: float              # 未缴/少缴税款金额</w:t>
      </w:r>
    </w:p>
    <w:p w14:paraId="1A34E66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risk_level: Literal["low", "medium", "high"]  # 风险等级</w:t>
      </w:r>
    </w:p>
    <w:p w14:paraId="7B0845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overdue_days: int = 0                 # 滞纳天数</w:t>
      </w:r>
    </w:p>
    <w:p w14:paraId="7847D9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6C3B2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PenaltyResult(BaseModel):</w:t>
      </w:r>
    </w:p>
    <w:p w14:paraId="062792C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"""罚款计算结果"""</w:t>
      </w:r>
    </w:p>
    <w:p w14:paraId="1C98AC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unpaid_tax: float                     # 未缴税款</w:t>
      </w:r>
    </w:p>
    <w:p w14:paraId="1D58F29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penalty_multiplier: float             # 罚款倍数</w:t>
      </w:r>
    </w:p>
    <w:p w14:paraId="632BF85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penalty_amount: float                 # 罚款金额</w:t>
      </w:r>
    </w:p>
    <w:p w14:paraId="016ED6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late_fee_rate: float                  # 滞纳金日利率</w:t>
      </w:r>
    </w:p>
    <w:p w14:paraId="7B69192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late_fee_amount: float                # 滞纳金金额</w:t>
      </w:r>
    </w:p>
    <w:p w14:paraId="13C0F61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total_exposure: float                 # 总风险敞口（税款+罚款+滞纳金）</w:t>
      </w:r>
    </w:p>
    <w:p w14:paraId="3D61E07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legal_basis: str                      # 法律依据</w:t>
      </w:r>
    </w:p>
    <w:p w14:paraId="44602ED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C17D45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calculate_penalty(data: PenaltyInput) -&gt; PenaltyResult:</w:t>
      </w:r>
    </w:p>
    <w:p w14:paraId="56F592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31BF26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依据《税收征管法》第六十三条计算偷税罚款和滞纳金</w:t>
      </w:r>
    </w:p>
    <w:p w14:paraId="098693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6B0BD2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228BCB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罚款计算输入，包含未缴税款、风险等级和滞纳天数</w:t>
      </w:r>
    </w:p>
    <w:p w14:paraId="6A4F44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712EC6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15412E1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PenaltyResult: 罚款计算结果，包含罚款金额、滞纳金和总风险敞口</w:t>
      </w:r>
    </w:p>
    <w:p w14:paraId="445DA6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25489C2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Raises:</w:t>
      </w:r>
    </w:p>
    <w:p w14:paraId="5D50BC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ValueError: 当未缴税款为负数或滞纳天数为负数时抛出</w:t>
      </w:r>
    </w:p>
    <w:p w14:paraId="0A4873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5A25064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43E480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6E538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请同时生成 tests/test_penalty_calculator.py，覆盖：</w:t>
      </w:r>
    </w:p>
    <w:p w14:paraId="7267DFD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低/中/高风险三种场景</w:t>
      </w:r>
    </w:p>
    <w:p w14:paraId="4BCE42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滞纳金计算验证</w:t>
      </w:r>
    </w:p>
    <w:p w14:paraId="2551D6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总风险敞口计算验证</w:t>
      </w:r>
    </w:p>
    <w:p w14:paraId="6AB627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零值边界（未缴税款为0）</w:t>
      </w:r>
    </w:p>
    <w:p w14:paraId="50DCA4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负数异常</w:t>
      </w:r>
    </w:p>
    <w:p w14:paraId="7A9EE66C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3.5 沉浸式风险模拟器</w:t>
      </w:r>
    </w:p>
    <w:p w14:paraId="63396F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backend/app/core/simulation_engine.py 模块，这是核心心理干预功能——沉浸式风险模拟器。</w:t>
      </w:r>
    </w:p>
    <w:p w14:paraId="5DC41C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01E1B1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7C26B18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基于前景理论，模拟"继续当前模式"vs"进行合规整改"两条路径在6个月、1年、3年后的财务后果对比，通过损失框架改变老板的风险感知。</w:t>
      </w:r>
    </w:p>
    <w:p w14:paraId="51B1D87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A82E7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【模拟逻辑】</w:t>
      </w:r>
    </w:p>
    <w:p w14:paraId="0162F48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53BC9B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路径A：继续当前模式（不合规）</w:t>
      </w:r>
    </w:p>
    <w:p w14:paraId="375C013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每月隐匿收入 X 元，少缴税款 = X × 综合税率</w:t>
      </w:r>
    </w:p>
    <w:p w14:paraId="07FB68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稽查概率随时间递增：</w:t>
      </w:r>
    </w:p>
    <w:p w14:paraId="416793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- 6个月：低风险5%、中风险15%、高风险30%</w:t>
      </w:r>
    </w:p>
    <w:p w14:paraId="3BE4F4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- 1年：低风险10%、中风险25%、高风险50%</w:t>
      </w:r>
    </w:p>
    <w:p w14:paraId="310823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- 3年：低风险20%、中风险45%、高风险80%</w:t>
      </w:r>
    </w:p>
    <w:p w14:paraId="081693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期望罚款 = 少缴税款 × 罚款倍数（按风险等级）× 稽查概率</w:t>
      </w:r>
    </w:p>
    <w:p w14:paraId="081317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期望滞纳金 = 少缴税款 × 0.05% × 天数 × 稽查概率</w:t>
      </w:r>
    </w:p>
    <w:p w14:paraId="0F8E2E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路径A总成本 = 期望罚款 + 期望滞纳金 + 声誉损失（高风险时额外计入）</w:t>
      </w:r>
    </w:p>
    <w:p w14:paraId="296B6C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E1AE6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路径B：进行合规整改</w:t>
      </w:r>
    </w:p>
    <w:p w14:paraId="38D1507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一次性整改成本 = 补缴税款 + 整改服务费</w:t>
      </w:r>
    </w:p>
    <w:p w14:paraId="6E57915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之后每月正常纳税，无稽查风险</w:t>
      </w:r>
    </w:p>
    <w:p w14:paraId="519F98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路径B总成本 = 补缴税款 + 整改服务费</w:t>
      </w:r>
    </w:p>
    <w:p w14:paraId="5F618FE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CE423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对比输出：</w:t>
      </w:r>
    </w:p>
    <w:p w14:paraId="34790B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各时间节点的路径A vs 路径B总成本对比</w:t>
      </w:r>
    </w:p>
    <w:p w14:paraId="36425C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"现在整改的成本" vs "将来爆雷的代价"对比</w:t>
      </w:r>
    </w:p>
    <w:p w14:paraId="6A3902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推荐建议</w:t>
      </w:r>
    </w:p>
    <w:p w14:paraId="2CA8D7B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A7FA8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3F7B22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D695F3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67578AC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46A63D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3A5C35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SimulationInput(BaseModel):</w:t>
      </w:r>
    </w:p>
    <w:p w14:paraId="7F26E79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"""模拟器输入"""</w:t>
      </w:r>
    </w:p>
    <w:p w14:paraId="4B305F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monthly_hidden_revenue: float         # 每月隐匿收入金额</w:t>
      </w:r>
    </w:p>
    <w:p w14:paraId="10881A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comprehensive_tax_rate: float         # 综合税率（如0.06表示6%）</w:t>
      </w:r>
    </w:p>
    <w:p w14:paraId="1C6E1F8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risk_level: Literal["low", "medium", "high"]</w:t>
      </w:r>
    </w:p>
    <w:p w14:paraId="4CAB54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remediation_cost: float               # 一次性整改成本（补缴税款+服务费）</w:t>
      </w:r>
    </w:p>
    <w:p w14:paraId="570CF1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monthly_reputation_loss: float = 0.0  # 高风险时每月声誉损失</w:t>
      </w:r>
    </w:p>
    <w:p w14:paraId="65A11A4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82D2BB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TimePointResult(BaseModel):</w:t>
      </w:r>
    </w:p>
    <w:p w14:paraId="61DFBC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"""单时间节点结果"""</w:t>
      </w:r>
    </w:p>
    <w:p w14:paraId="582423D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period: str                           # "6months" / "1year" / "3years"</w:t>
      </w:r>
    </w:p>
    <w:p w14:paraId="2292124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path_a_cost: float                    # 路径A总成本</w:t>
      </w:r>
    </w:p>
    <w:p w14:paraId="294B7E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path_b_cost: float                    # 路径B总成本</w:t>
      </w:r>
    </w:p>
    <w:p w14:paraId="1AD40E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audit_probability: float              # 稽查概率</w:t>
      </w:r>
    </w:p>
    <w:p w14:paraId="1F9F37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expected_penalty: float               # 期望罚款</w:t>
      </w:r>
    </w:p>
    <w:p w14:paraId="6933B8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expected_late_fee: float              # 期望滞纳金</w:t>
      </w:r>
    </w:p>
    <w:p w14:paraId="55B778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cost_difference: float                # 路径A - 路径B（正值说明不合规更贵）</w:t>
      </w:r>
    </w:p>
    <w:p w14:paraId="4DB6C4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42070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SimulationResult(BaseModel):</w:t>
      </w:r>
    </w:p>
    <w:p w14:paraId="0E2501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"""模拟器总结果"""</w:t>
      </w:r>
    </w:p>
    <w:p w14:paraId="266542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time_points: list[TimePointResult]    # 三个时间节点结果</w:t>
      </w:r>
    </w:p>
    <w:p w14:paraId="1ABAAF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recommendation: str                   # 推荐建议</w:t>
      </w:r>
    </w:p>
    <w:p w14:paraId="524D965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loss_frame_message: str               # 损失框架话术（核心心理干预）</w:t>
      </w:r>
    </w:p>
    <w:p w14:paraId="3B1F39B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case_references: list[str]            # 同行业真实稽查案例引用（脱敏）</w:t>
      </w:r>
    </w:p>
    <w:p w14:paraId="49F2DC0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BE52FA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run_simulation(data: SimulationInput) -&gt; SimulationResult:</w:t>
      </w:r>
    </w:p>
    <w:p w14:paraId="5EBD9AB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122F9E9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运行沉浸式风险模拟，对比合规与不合规两条路径的财务后果</w:t>
      </w:r>
    </w:p>
    <w:p w14:paraId="420EC2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4848B1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3882FB4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模拟器输入数据</w:t>
      </w:r>
    </w:p>
    <w:p w14:paraId="2CD7B47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4FBC7F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43DDE2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SimulationResult: 三个时间节点的对比结果和心理干预话术</w:t>
      </w:r>
    </w:p>
    <w:p w14:paraId="276951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530215D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44DD1AC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F3F6F1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【损失框架话术生成规则】</w:t>
      </w:r>
    </w:p>
    <w:p w14:paraId="522407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不说"合规能省多少钱"，说"不合规会损失多少钱"。根据风险等级生成不同话术：</w:t>
      </w:r>
    </w:p>
    <w:p w14:paraId="11BB63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高风险："按当前模式继续，3年内被稽查概率高达80%，预计面临罚款及滞纳金约XX万元。现在整改成本仅XX万元，是未来代价的XX%。"</w:t>
      </w:r>
    </w:p>
    <w:p w14:paraId="78CD9AE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中风险："按当前模式继续，1年内被稽查概率25%，预计面临罚款及滞纳金约XX万元。及早整改可避免风险扩大。"</w:t>
      </w:r>
    </w:p>
    <w:p w14:paraId="190AF4E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低风险："当前风险较低，但仍存在XX万元的潜在风险敞口。建议保持合规，防患于未然。"</w:t>
      </w:r>
    </w:p>
    <w:p w14:paraId="2407B7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CA4AB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【案例引用】</w:t>
      </w:r>
    </w:p>
    <w:p w14:paraId="7CB647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内置3个脱敏的真实稽查案例，按行业匹配：</w:t>
      </w:r>
    </w:p>
    <w:p w14:paraId="402CEFE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案例库存储在 backend/app/data/case_studies.json 中</w:t>
      </w:r>
    </w:p>
    <w:p w14:paraId="2CCDEE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每个案例包含：行业、企业规模、违规行为、查处结果、罚款金额</w:t>
      </w:r>
    </w:p>
    <w:p w14:paraId="4CF61D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根据用户企业行业匹配最相关的案例</w:t>
      </w:r>
    </w:p>
    <w:p w14:paraId="4C12D87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7B72E8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 case_studies.json 文件，包含至少9个脱敏案例（覆盖批发零售、制造、建筑、电商、餐饮服务5个行业）。</w:t>
      </w:r>
    </w:p>
    <w:p w14:paraId="433663B4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3.6 税收优惠适用性校验</w:t>
      </w:r>
    </w:p>
    <w:p w14:paraId="2AE373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backend/app/core/tax_preference.py 模块，校验企业税收优惠适用性。</w:t>
      </w:r>
    </w:p>
    <w:p w14:paraId="3C89EF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F4DDF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383D09C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小微企业优惠条件自动核验</w:t>
      </w:r>
    </w:p>
    <w:p w14:paraId="46AB9D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高新技术企业资格动态监测</w:t>
      </w:r>
    </w:p>
    <w:p w14:paraId="7E02A1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区域/行业专项优惠匹配</w:t>
      </w:r>
    </w:p>
    <w:p w14:paraId="3677FE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3535D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【小微企业优惠条件（现行政策）】</w:t>
      </w:r>
    </w:p>
    <w:p w14:paraId="7C3B61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同时满足以下三个条件：</w:t>
      </w:r>
    </w:p>
    <w:p w14:paraId="1FC6A0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从业人数 ≤ 300人</w:t>
      </w:r>
    </w:p>
    <w:p w14:paraId="38FEEA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资产总额 ≤ 5000万元</w:t>
      </w:r>
    </w:p>
    <w:p w14:paraId="607F935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年度应纳税所得额 ≤ 300万元</w:t>
      </w:r>
    </w:p>
    <w:p w14:paraId="11B1EA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110719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239A89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2D0A78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46F61E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4B42672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9E015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PreferenceCheckInput(BaseModel):</w:t>
      </w:r>
    </w:p>
    <w:p w14:paraId="5FA622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"""优惠校验输入"""</w:t>
      </w:r>
    </w:p>
    <w:p w14:paraId="7CA6E0B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employee_count: int</w:t>
      </w:r>
    </w:p>
    <w:p w14:paraId="43F054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total_assets: float</w:t>
      </w:r>
    </w:p>
    <w:p w14:paraId="4DBBA9C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annual_profit: float           # 年度应纳税所得额</w:t>
      </w:r>
    </w:p>
    <w:p w14:paraId="6DC90E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is_high_tech: bool</w:t>
      </w:r>
    </w:p>
    <w:p w14:paraId="173795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is_small_micro: bool           # 当前是否享受小微优惠</w:t>
      </w:r>
    </w:p>
    <w:p w14:paraId="3ABDC79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industry: str</w:t>
      </w:r>
    </w:p>
    <w:p w14:paraId="6BC10C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436FE4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PreferenceCheckResult(BaseModel):</w:t>
      </w:r>
    </w:p>
    <w:p w14:paraId="19A8231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"""优惠校验结果"""</w:t>
      </w:r>
    </w:p>
    <w:p w14:paraId="54684A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small_micro_eligible: bool     # 是否符合小微条件</w:t>
      </w:r>
    </w:p>
    <w:p w14:paraId="37D83B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small_micro_conditions: dict   # 各条件明细</w:t>
      </w:r>
    </w:p>
    <w:p w14:paraId="4E16AE6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current_status: Literal["enjoying_correctly", "enjoying_incorrectly", "should_enjoy_but_not", "not_applicable"]</w:t>
      </w:r>
    </w:p>
    <w:p w14:paraId="77D1D2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recommendations: list[str]</w:t>
      </w:r>
    </w:p>
    <w:p w14:paraId="1A7DBC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high_tech_risk: str | None     # 高企动态监测风险提示</w:t>
      </w:r>
    </w:p>
    <w:p w14:paraId="6387BB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DA65BC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check_tax_preference(data: PreferenceCheckInput) -&gt; PreferenceCheckResult:</w:t>
      </w:r>
    </w:p>
    <w:p w14:paraId="1FB34F2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1BE0797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校验企业税收优惠适用性</w:t>
      </w:r>
    </w:p>
    <w:p w14:paraId="2BA079A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6D07C1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427D89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优惠校验输入数据</w:t>
      </w:r>
    </w:p>
    <w:p w14:paraId="4B008C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107E30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288BE29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PreferenceCheckResult: 校验结果和建议</w:t>
      </w:r>
    </w:p>
    <w:p w14:paraId="2766C2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23568E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71E384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FDDACA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【高企动态监测提示】</w:t>
      </w:r>
    </w:p>
    <w:p w14:paraId="6D4EB4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如果 is_high_tech = True，添加提示：</w:t>
      </w:r>
    </w:p>
    <w:p w14:paraId="2F853B0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"2025年全国取消高新技术企业资格4758家，同比增长11.77%。高企'动态摘帽'已成为制度性常态，请持续关注研发费用占比、高新收入占比等核心指标。"</w:t>
      </w:r>
    </w:p>
    <w:p w14:paraId="2906AF95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3.7 心理干预策略引擎</w:t>
      </w:r>
    </w:p>
    <w:p w14:paraId="068CAD9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backend/app/core/intervention.py 模块，基于行为经济学的五层递进式心理干预机制。</w:t>
      </w:r>
    </w:p>
    <w:p w14:paraId="2F3C1F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97D3CB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【五层干预策略】</w:t>
      </w:r>
    </w:p>
    <w:p w14:paraId="371309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85EC59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第一层：打破乐观偏差</w:t>
      </w:r>
    </w:p>
    <w:p w14:paraId="40B735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理论依据：前景理论——个体对概率的判断存在系统性偏差</w:t>
      </w:r>
    </w:p>
    <w:p w14:paraId="3B18015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实现方式：显示"同规模企业被稽查概率"+"您当前操作的风险评分"</w:t>
      </w:r>
    </w:p>
    <w:p w14:paraId="03305E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输出：数据对比卡片</w:t>
      </w:r>
    </w:p>
    <w:p w14:paraId="5B4CCC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C546D4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第二层：削弱控制错觉</w:t>
      </w:r>
    </w:p>
    <w:p w14:paraId="5CBF64C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理论依据：控制错觉理论——个体高估自身对随机事件的控制力</w:t>
      </w:r>
    </w:p>
    <w:p w14:paraId="75CCB2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实现方式：模拟金税四期自动预警流程，强调"系统自动触发，无人为干预"</w:t>
      </w:r>
    </w:p>
    <w:p w14:paraId="1D0322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输出：系统流程动画描述文本</w:t>
      </w:r>
    </w:p>
    <w:p w14:paraId="73563C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4EA85A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第三层：重构损失认知</w:t>
      </w:r>
    </w:p>
    <w:p w14:paraId="5E70DD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理论依据：前景理论——损失框架比收益框架更有说服力</w:t>
      </w:r>
    </w:p>
    <w:p w14:paraId="13E183B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实现方式：不说"合规能省多少钱"，说"不合规会损失多少钱"</w:t>
      </w:r>
    </w:p>
    <w:p w14:paraId="4E6611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输出：损失框架话术</w:t>
      </w:r>
    </w:p>
    <w:p w14:paraId="41E8C0C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3CC3A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第四层：缓解认知失调</w:t>
      </w:r>
    </w:p>
    <w:p w14:paraId="1329A7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理论依据：认知失调理论——个体需要为行为找到正当理由</w:t>
      </w:r>
    </w:p>
    <w:p w14:paraId="2E27F2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实现方式：将合规重新定义为"保护企业而非增加成本"</w:t>
      </w:r>
    </w:p>
    <w:p w14:paraId="7DE17D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输出：合理化出口话术</w:t>
      </w:r>
    </w:p>
    <w:p w14:paraId="2CE818B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CA0450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第五层：锚定长期预期</w:t>
      </w:r>
    </w:p>
    <w:p w14:paraId="0500E55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理论依据：心理账户理论——个体对不同行为设有独立的心理账户</w:t>
      </w:r>
    </w:p>
    <w:p w14:paraId="10C90FA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实现方式：建立"合规账户"（长期资产）vs"违规账户"（短期负债）的区分</w:t>
      </w:r>
    </w:p>
    <w:p w14:paraId="169AE9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输出：心理账户对比表</w:t>
      </w:r>
    </w:p>
    <w:p w14:paraId="402F43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4834A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31888C4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126DE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pydantic import BaseModel</w:t>
      </w:r>
    </w:p>
    <w:p w14:paraId="470A22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FADF5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InterventionInput(BaseModel):</w:t>
      </w:r>
    </w:p>
    <w:p w14:paraId="6928DB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"""干预输入"""</w:t>
      </w:r>
    </w:p>
    <w:p w14:paraId="2A05D69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risk_level: str</w:t>
      </w:r>
    </w:p>
    <w:p w14:paraId="316597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deviation_index: float</w:t>
      </w:r>
    </w:p>
    <w:p w14:paraId="040C99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dominant_biases: list[str]</w:t>
      </w:r>
    </w:p>
    <w:p w14:paraId="23352A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audit_probability: float         # 稽查概率</w:t>
      </w:r>
    </w:p>
    <w:p w14:paraId="6A640BB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expected_loss: float             # 期望损失金额</w:t>
      </w:r>
    </w:p>
    <w:p w14:paraId="549690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remediation_cost: float          # 整改成本</w:t>
      </w:r>
    </w:p>
    <w:p w14:paraId="08EBEA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65438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InterventionLayer(BaseModel):</w:t>
      </w:r>
    </w:p>
    <w:p w14:paraId="44E4E3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"""单层干预"""</w:t>
      </w:r>
    </w:p>
    <w:p w14:paraId="32DEE7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layer: int                       # 层级1-5</w:t>
      </w:r>
    </w:p>
    <w:p w14:paraId="4782F1A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name: str                        # 策略名称</w:t>
      </w:r>
    </w:p>
    <w:p w14:paraId="5EF129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theory: str                      # 理论依据</w:t>
      </w:r>
    </w:p>
    <w:p w14:paraId="46497B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content: str                     # 干预内容</w:t>
      </w:r>
    </w:p>
    <w:p w14:paraId="4CB7FE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visual_type: str                 # 可视化类型（card/animation/text/table）</w:t>
      </w:r>
    </w:p>
    <w:p w14:paraId="28010FB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1DAC21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InterventionResult(BaseModel):</w:t>
      </w:r>
    </w:p>
    <w:p w14:paraId="6ACA15F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"""干预结果"""</w:t>
      </w:r>
    </w:p>
    <w:p w14:paraId="7EB580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layers: list[InterventionLayer]  # 五层干预策略</w:t>
      </w:r>
    </w:p>
    <w:p w14:paraId="0BDA63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priority_order: list[int]        # 根据主导偏差调整的优先级排序</w:t>
      </w:r>
    </w:p>
    <w:p w14:paraId="2A8151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B0869A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generate_intervention(data: InterventionInput) -&gt; InterventionResult:</w:t>
      </w:r>
    </w:p>
    <w:p w14:paraId="1105A0C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09F23D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生成五层递进式心理干预策略</w:t>
      </w:r>
    </w:p>
    <w:p w14:paraId="5E2F7E1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72BCBB1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63E477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data: 干预输入数据</w:t>
      </w:r>
    </w:p>
    <w:p w14:paraId="71224BB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09DB87C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65D70C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InterventionResult: 五层干预策略，根据主导偏差调整优先级</w:t>
      </w:r>
    </w:p>
    <w:p w14:paraId="3D0879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14BE574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37882CB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F99F7E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【优先级调整逻辑】</w:t>
      </w:r>
    </w:p>
    <w:p w14:paraId="288548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根据主导偏差类型调整五层干预的优先级：</w:t>
      </w:r>
    </w:p>
    <w:p w14:paraId="6F1CE3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主导偏差含"乐观偏差" → 第一层优先</w:t>
      </w:r>
    </w:p>
    <w:p w14:paraId="057467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主导偏差含"控制错觉" → 第二层优先</w:t>
      </w:r>
    </w:p>
    <w:p w14:paraId="0849F08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主导偏差含"损失厌恶" → 第三层优先</w:t>
      </w:r>
    </w:p>
    <w:p w14:paraId="795D52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主导偏差含"防御心理" → 第四层优先</w:t>
      </w:r>
    </w:p>
    <w:p w14:paraId="5754D7F2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ascii="Consolas" w:hAnsi="Consolas" w:eastAsia="Consolas"/>
          <w:color w:val="1E293B"/>
          <w:sz w:val="18"/>
        </w:rPr>
        <w:t>- 主导偏差含"短期主义" → 第五层优先</w:t>
      </w:r>
    </w:p>
    <w:p w14:paraId="12543D79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</w:p>
    <w:p w14:paraId="327106D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【Phase 3完成后的验证检查清单】</w:t>
      </w:r>
    </w:p>
    <w:p w14:paraId="268130D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73DB110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在所有7个核心算法模块完成后，请执行以下验证：</w:t>
      </w:r>
    </w:p>
    <w:p w14:paraId="11E6BE6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7CDDC9E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运行全部单元测试：pytest backend/tests/ -v</w:t>
      </w:r>
    </w:p>
    <w:p w14:paraId="442463C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使用三类模拟企业数据端到端验证：</w:t>
      </w:r>
    </w:p>
    <w:p w14:paraId="3687820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企业A（正常）：四流匹配度应≈0.92，总体风险应为low，偏差指数应&lt;50</w:t>
      </w:r>
    </w:p>
    <w:p w14:paraId="10668A0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企业B（轻度风险）：四流匹配度应≈0.72，总体风险应为medium，偏差指数应在50-70</w:t>
      </w:r>
    </w:p>
    <w:p w14:paraId="4EAB873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企业C（重度风险）：四流匹配度应≈0.45，总体风险应为high，偏差指数应&gt;70</w:t>
      </w:r>
    </w:p>
    <w:p w14:paraId="4EC82CA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验证边界条件：</w:t>
      </w:r>
    </w:p>
    <w:p w14:paraId="4DECA7C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零值输入不导致除零错误</w:t>
      </w:r>
    </w:p>
    <w:p w14:paraId="2A1E3D3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负数输入正确抛出ValueError</w:t>
      </w:r>
    </w:p>
    <w:p w14:paraId="640E95C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偏差指数不超过100</w:t>
      </w:r>
    </w:p>
    <w:p w14:paraId="7E3934E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验证商业语言/技术语言双轨输出均非空</w:t>
      </w:r>
    </w:p>
    <w:p w14:paraId="2C505EB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B3807AA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如果以上任一验证失败，请修正后再进入下一Phase。</w:t>
      </w:r>
    </w:p>
    <w:p w14:paraId="660B4BFB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第四部分：后端API接口设计指令</w:t>
      </w:r>
    </w:p>
    <w:p w14:paraId="7AA61C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backend/app/api/ 目录下的所有API路由，使用 FastAPI 框架。</w:t>
      </w:r>
    </w:p>
    <w:p w14:paraId="46CA137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235CD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【统一响应格式】</w:t>
      </w:r>
    </w:p>
    <w:p w14:paraId="57D8BA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D824B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所有API返回统一格式：</w:t>
      </w:r>
    </w:p>
    <w:p w14:paraId="3E5AD3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{</w:t>
      </w:r>
    </w:p>
    <w:p w14:paraId="1063BE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"code": 200,           // 业务状态码：200成功，40001数据缺失，40002参数异常，50000服务器内部错误</w:t>
      </w:r>
    </w:p>
    <w:p w14:paraId="26B00F8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"message": "success",  // 提示信息</w:t>
      </w:r>
    </w:p>
    <w:p w14:paraId="643AE3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"data": { ... }        // 业务数据</w:t>
      </w:r>
    </w:p>
    <w:p w14:paraId="3709D78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}</w:t>
      </w:r>
    </w:p>
    <w:p w14:paraId="02411F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1D03F8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请先实现 backend/app/api/deps.py 中的统一响应封装：</w:t>
      </w:r>
    </w:p>
    <w:p w14:paraId="1F9B3F1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success_response(data, message="success") -&gt; dict</w:t>
      </w:r>
    </w:p>
    <w:p w14:paraId="7D559D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error_response(code, message) -&gt; dict</w:t>
      </w:r>
    </w:p>
    <w:p w14:paraId="0EAC2E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C5369D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【API路由清单】</w:t>
      </w:r>
    </w:p>
    <w:p w14:paraId="7DB473A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AB2F06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企业管理 API (backend/app/api/enterprises.py)</w:t>
      </w:r>
    </w:p>
    <w:p w14:paraId="6CF7D08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              获取企业列表</w:t>
      </w:r>
    </w:p>
    <w:p w14:paraId="0A56C99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         获取企业详情</w:t>
      </w:r>
    </w:p>
    <w:p w14:paraId="0831B04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              创建企业</w:t>
      </w:r>
    </w:p>
    <w:p w14:paraId="35F9013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PUT    /api/v1/enterprises/{id}         更新企业信息</w:t>
      </w:r>
    </w:p>
    <w:p w14:paraId="7631412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DELETE /api/v1/enterprises/{id}         删除企业</w:t>
      </w:r>
    </w:p>
    <w:p w14:paraId="761A7CD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8A2EBF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数据接入 API (backend/app/api/data_ingestion.py)</w:t>
      </w:r>
    </w:p>
    <w:p w14:paraId="533169D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/api/v1/enterprises/{id}/bank-statements    获取银行流水</w:t>
      </w:r>
    </w:p>
    <w:p w14:paraId="1C9D1BC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/api/v1/enterprises/{id}/bank-statements    导入银行流水（模拟）</w:t>
      </w:r>
    </w:p>
    <w:p w14:paraId="13140AC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/api/v1/enterprises/{id}/invoices           获取发票数据</w:t>
      </w:r>
    </w:p>
    <w:p w14:paraId="77E37DB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/api/v1/enterprises/{id}/invoices           导入发票数据（模拟）</w:t>
      </w:r>
    </w:p>
    <w:p w14:paraId="5AD8ACD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/api/v1/enterprises/{id}/tax-declarations   获取纳税申报</w:t>
      </w:r>
    </w:p>
    <w:p w14:paraId="737505A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/api/v1/enterprises/{id}/contracts          获取合同台账</w:t>
      </w:r>
    </w:p>
    <w:p w14:paraId="3D08858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/api/v1/enterprises/{id}/financial-statements 获取财务报表</w:t>
      </w:r>
    </w:p>
    <w:p w14:paraId="3C32A3D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/api/v1/enterprises/{id}/load-mock-data    一键加载模拟数据</w:t>
      </w:r>
    </w:p>
    <w:p w14:paraId="13BEEB5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45E480B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风险扫描 API (backend/app/api/risk_scan.py)</w:t>
      </w:r>
    </w:p>
    <w:p w14:paraId="394AC7D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/api/v1/enterprises/{id}/risk-scan          执行风险扫描</w:t>
      </w:r>
    </w:p>
    <w:p w14:paraId="5FB6381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/api/v1/enterprises/{id}/risk-assessments    获取风险评估历史</w:t>
      </w:r>
    </w:p>
    <w:p w14:paraId="579F95E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/api/v1/enterprises/{id}/risk-assessments/latest 获取最新风险评估</w:t>
      </w:r>
    </w:p>
    <w:p w14:paraId="01898C7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/api/v1/risk-assessments/{id}               获取风险评估详情</w:t>
      </w:r>
    </w:p>
    <w:p w14:paraId="3A73BF3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201C9E6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心理画像 API (backend/app/api/profile.py)</w:t>
      </w:r>
    </w:p>
    <w:p w14:paraId="2C456E4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/api/v1/enterprises/{id}/profile            生成心理画像</w:t>
      </w:r>
    </w:p>
    <w:p w14:paraId="4D3C299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/api/v1/enterprises/{id}/profiles           获取心理画像历史</w:t>
      </w:r>
    </w:p>
    <w:p w14:paraId="646C30D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/api/v1/enterprises/{id}/profiles/latest    获取最新心理画像</w:t>
      </w:r>
    </w:p>
    <w:p w14:paraId="6669C20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4E66E31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5. 风险模拟 API (backend/app/api/simulation.py)</w:t>
      </w:r>
    </w:p>
    <w:p w14:paraId="4F88CC9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/api/v1/enterprises/{id}/simulate           运行风险模拟</w:t>
      </w:r>
    </w:p>
    <w:p w14:paraId="6F61C08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/api/v1/case-studies                        获取案例库</w:t>
      </w:r>
    </w:p>
    <w:p w14:paraId="6AA93C2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/api/v1/case-studies?industry={industry}    按行业筛选案例</w:t>
      </w:r>
    </w:p>
    <w:p w14:paraId="5A7B4CC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448E6C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6. 合规导航 API (backend/app/api/compliance.py)</w:t>
      </w:r>
    </w:p>
    <w:p w14:paraId="43BED58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/api/v1/enterprises/{id}/tax-preference     税收优惠校验</w:t>
      </w:r>
    </w:p>
    <w:p w14:paraId="07F4E22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/api/v1/enterprises/{id}/intervention       获取心理干预策略</w:t>
      </w:r>
    </w:p>
    <w:p w14:paraId="6965132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3814642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7. 整改追踪 API (backend/app/api/remediation.py)</w:t>
      </w:r>
    </w:p>
    <w:p w14:paraId="0A15555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/api/v1/enterprises/{id}/remediation-tasks       获取整改任务列表</w:t>
      </w:r>
    </w:p>
    <w:p w14:paraId="5E48BE3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/api/v1/enterprises/{id}/remediation-tasks       创建整改任务</w:t>
      </w:r>
    </w:p>
    <w:p w14:paraId="7E546EE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PUT    /api/v1/remediation-tasks/{id}                   更新整改任务状态</w:t>
      </w:r>
    </w:p>
    <w:p w14:paraId="442A1AD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/api/v1/remediation-tasks/{id}                   获取整改任务详情</w:t>
      </w:r>
    </w:p>
    <w:p w14:paraId="3D60AB0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282AF3F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8. 报告生成 API (backend/app/api/reports.py)</w:t>
      </w:r>
    </w:p>
    <w:p w14:paraId="78EC23F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/api/v1/enterprises/{id}/reports/generate    生成风险报告</w:t>
      </w:r>
    </w:p>
    <w:p w14:paraId="752A147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/api/v1/enterprises/{id}/reports             获取报告列表</w:t>
      </w:r>
    </w:p>
    <w:p w14:paraId="424C8BB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/api/v1/reports/{id}                         获取报告详情</w:t>
      </w:r>
    </w:p>
    <w:p w14:paraId="4CDDB09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GET    /api/v1/reports/{id}/download                下载报告（PDF格式）</w:t>
      </w:r>
    </w:p>
    <w:p w14:paraId="3B98031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E037BC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9. 大模型辅助 API (backend/app/api/ai_assistant.py)</w:t>
      </w:r>
    </w:p>
    <w:p w14:paraId="17B62BD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/api/v1/ai/chat                              AI问答（大模型对话）</w:t>
      </w:r>
    </w:p>
    <w:p w14:paraId="094F9DE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 - POST   /api/v1/ai/polish-report                     报告话术润色（大模型）</w:t>
      </w:r>
    </w:p>
    <w:p w14:paraId="259A371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5499A5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【API设计要求】</w:t>
      </w:r>
    </w:p>
    <w:p w14:paraId="02163F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所有API使用 Pydantic 模型进行请求/响应校验</w:t>
      </w:r>
    </w:p>
    <w:p w14:paraId="19E7C4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使用 FastAPI 的 APIRouter 进行模块化路由</w:t>
      </w:r>
    </w:p>
    <w:p w14:paraId="78A7A8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在 main.py 中注册所有路由，添加 CORS 中间件</w:t>
      </w:r>
    </w:p>
    <w:p w14:paraId="7D28049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添加统一异常处理器，捕获所有未处理异常并返回统一错误格式</w:t>
      </w:r>
    </w:p>
    <w:p w14:paraId="50B8F2B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添加请求日志中间件，记录所有API请求</w:t>
      </w:r>
    </w:p>
    <w:p w14:paraId="550CA2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大模型API调用需封装在 backend/app/services/llm_service.py 中，支持通义千问和DeepSeek两种API</w:t>
      </w:r>
    </w:p>
    <w:p w14:paraId="00F532F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大模型调用必须设置超时（30秒）和重试机制（最多3次）</w:t>
      </w:r>
    </w:p>
    <w:p w14:paraId="35E9CE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FB930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【大模型服务封装要求】</w:t>
      </w:r>
    </w:p>
    <w:p w14:paraId="776BB99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7B801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backend/app/services/llm_service.py</w:t>
      </w:r>
    </w:p>
    <w:p w14:paraId="4C35FF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0BC03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LLMService:</w:t>
      </w:r>
    </w:p>
    <w:p w14:paraId="6938253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1115F0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大模型服务封装</w:t>
      </w:r>
    </w:p>
    <w:p w14:paraId="195FDA7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486D19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重要：本服务仅用于以下非精确计算场景：</w:t>
      </w:r>
    </w:p>
    <w:p w14:paraId="415C26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1. 报告话术润色</w:t>
      </w:r>
    </w:p>
    <w:p w14:paraId="67ADB1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2. 案例检索辅助</w:t>
      </w:r>
    </w:p>
    <w:p w14:paraId="7387DCC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3. 用户问答交互</w:t>
      </w:r>
    </w:p>
    <w:p w14:paraId="3868AD4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2C0C489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禁止用于以下场景（必须使用规则引擎）：</w:t>
      </w:r>
    </w:p>
    <w:p w14:paraId="540A883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1. 四流匹配度计算</w:t>
      </w:r>
    </w:p>
    <w:p w14:paraId="0C0FDA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2. 罚款金额计算</w:t>
      </w:r>
    </w:p>
    <w:p w14:paraId="7020235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3. 税收优惠条件核验</w:t>
      </w:r>
    </w:p>
    <w:p w14:paraId="19868C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4. 心理画像评分计算</w:t>
      </w:r>
    </w:p>
    <w:p w14:paraId="5CD96D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5. 风险等级判定</w:t>
      </w:r>
    </w:p>
    <w:p w14:paraId="69F336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4645200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628D73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async def chat(self, messages: list[dict], model: str = "deepseek") -&gt; str:</w:t>
      </w:r>
    </w:p>
    <w:p w14:paraId="05DDB28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"""大模型对话"""</w:t>
      </w:r>
    </w:p>
    <w:p w14:paraId="509A29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...</w:t>
      </w:r>
    </w:p>
    <w:p w14:paraId="1D6AB9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6D0D03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async def polish_text(self, raw_text: str, context: dict) -&gt; str:</w:t>
      </w:r>
    </w:p>
    <w:p w14:paraId="68BB773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"""话术润色"""</w:t>
      </w:r>
    </w:p>
    <w:p w14:paraId="6C98D5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...</w:t>
      </w:r>
    </w:p>
    <w:p w14:paraId="39CADA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60F2BC4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async def search_cases(self, industry: str, risk_type: str) -&gt; list[dict]:</w:t>
      </w:r>
    </w:p>
    <w:p w14:paraId="5377AF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"""案例检索辅助"""</w:t>
      </w:r>
    </w:p>
    <w:p w14:paraId="31A1AC8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...</w:t>
      </w:r>
    </w:p>
    <w:p w14:paraId="73F66C3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98B5AC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请生成完整的API路由代码、Pydantic schema定义（backend/app/schemas/）、服务层代码（backend/app/services/）和main.py入口文件。</w:t>
      </w:r>
    </w:p>
    <w:p w14:paraId="7DF2DFC8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第五部分：前端开发指令</w:t>
      </w:r>
    </w:p>
    <w:p w14:paraId="45270E19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5.1 前端项目初始化</w:t>
      </w:r>
    </w:p>
    <w:p w14:paraId="70172E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请初始化前端项目，使用 Vite + React + TypeScript + Tailwind CSS。</w:t>
      </w:r>
    </w:p>
    <w:p w14:paraId="79DCE28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80120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【初始化命令】</w:t>
      </w:r>
    </w:p>
    <w:p w14:paraId="280F4D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npm create vite@latest frontend -- --template react-ts</w:t>
      </w:r>
    </w:p>
    <w:p w14:paraId="5A5E03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cd frontend</w:t>
      </w:r>
    </w:p>
    <w:p w14:paraId="3ADCFE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npm install</w:t>
      </w:r>
    </w:p>
    <w:p w14:paraId="2B03CC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npm install tailwindcss @tailwindcss/vite</w:t>
      </w:r>
    </w:p>
    <w:p w14:paraId="7432895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npm install zustand axios recharts lucide-react react-router-dom</w:t>
      </w:r>
    </w:p>
    <w:p w14:paraId="43AC182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npm install antd @ant-design/icons</w:t>
      </w:r>
    </w:p>
    <w:p w14:paraId="1023B268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npm install -D @types/node</w:t>
      </w: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3BF75E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【UI组件库说明】</w:t>
      </w:r>
    </w:p>
    <w:p w14:paraId="2C98104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建议使用 Ant Design (antd) 作为基础UI组件库，用于以下通用组件：</w:t>
      </w:r>
    </w:p>
    <w:p w14:paraId="1E8F846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Button、Modal、Table、Select、Slider、Badge、Card、Progress、Tooltip、Tabs</w:t>
      </w:r>
    </w:p>
    <w:p w14:paraId="2E185B7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这些组件无需从零实现，直接从 antd 导入即可</w:t>
      </w:r>
    </w:p>
    <w:p w14:paraId="0236A18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自定义组件（RiskMapCard、BiasRadarChart、SimulationChart等）仍需自行开发</w:t>
      </w:r>
    </w:p>
    <w:p w14:paraId="3918C6F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antd 的 ConfigProvider 可用于全局主题定制，将主色设为 #1A56DB</w:t>
      </w:r>
    </w:p>
    <w:p w14:paraId="5C4C86F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45E11EE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【Tailwind CSS 配置要求】</w:t>
      </w:r>
    </w:p>
    <w:p w14:paraId="01B5FD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配置 tailwind.config.js，使用以下自定义配色方案：</w:t>
      </w:r>
    </w:p>
    <w:p w14:paraId="3F4E79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主色：#1A56DB（信任蓝）</w:t>
      </w:r>
    </w:p>
    <w:p w14:paraId="720E92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警示色：#EF4444（柔和红，降低视觉焦虑）</w:t>
      </w:r>
    </w:p>
    <w:p w14:paraId="06307E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提醒色：#F59E0B（琥珀黄）</w:t>
      </w:r>
    </w:p>
    <w:p w14:paraId="70EE51C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安全色：#10B981（翡翠绿）</w:t>
      </w:r>
    </w:p>
    <w:p w14:paraId="2740C52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背景色：#F8FAFC（浅灰白）</w:t>
      </w:r>
    </w:p>
    <w:p w14:paraId="4A4D2BA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文字色：#1E293B（深灰黑）</w:t>
      </w:r>
    </w:p>
    <w:p w14:paraId="33C966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C637A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风险等级颜色映射：</w:t>
      </w:r>
    </w:p>
    <w:p w14:paraId="5C5739C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high（高风险）：#EF4444</w:t>
      </w:r>
    </w:p>
    <w:p w14:paraId="625488C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medium（中风险）：#F59E0B</w:t>
      </w:r>
    </w:p>
    <w:p w14:paraId="1C0F595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low（低风险）：#10B981</w:t>
      </w:r>
    </w:p>
    <w:p w14:paraId="6428D3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C716A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【项目目录结构】</w:t>
      </w:r>
    </w:p>
    <w:p w14:paraId="7C44499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frontend/</w:t>
      </w:r>
    </w:p>
    <w:p w14:paraId="6065A7A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public/</w:t>
      </w:r>
    </w:p>
    <w:p w14:paraId="670E4D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src/</w:t>
      </w:r>
    </w:p>
    <w:p w14:paraId="6099A8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api/                    # API请求封装</w:t>
      </w:r>
    </w:p>
    <w:p w14:paraId="14D987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client.ts           # axios实例+拦截器</w:t>
      </w:r>
    </w:p>
    <w:p w14:paraId="0ACD8A0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enterprises.ts</w:t>
      </w:r>
    </w:p>
    <w:p w14:paraId="11B640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riskScan.ts</w:t>
      </w:r>
    </w:p>
    <w:p w14:paraId="05AA6A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profile.ts</w:t>
      </w:r>
    </w:p>
    <w:p w14:paraId="7ACD6A4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simulation.ts</w:t>
      </w:r>
    </w:p>
    <w:p w14:paraId="150E890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remediation.ts</w:t>
      </w:r>
    </w:p>
    <w:p w14:paraId="44AEBE8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components/             # 通用组件</w:t>
      </w:r>
    </w:p>
    <w:p w14:paraId="2B7415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common/</w:t>
      </w:r>
    </w:p>
    <w:p w14:paraId="0287B9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Card.tsx</w:t>
      </w:r>
    </w:p>
    <w:p w14:paraId="29A33B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Button.tsx</w:t>
      </w:r>
    </w:p>
    <w:p w14:paraId="43320E6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Badge.tsx</w:t>
      </w:r>
    </w:p>
    <w:p w14:paraId="4183C4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Modal.tsx</w:t>
      </w:r>
    </w:p>
    <w:p w14:paraId="4516EF6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└── Loading.tsx</w:t>
      </w:r>
    </w:p>
    <w:p w14:paraId="5E5EBE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charts/</w:t>
      </w:r>
    </w:p>
    <w:p w14:paraId="5645EC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RiskGauge.tsx       # 风险仪表盘</w:t>
      </w:r>
    </w:p>
    <w:p w14:paraId="4C78EE5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RiskMap.tsx         # 风险可视化地图</w:t>
      </w:r>
    </w:p>
    <w:p w14:paraId="5E1D9D2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├── BiasRadar.tsx       # 偏差雷达图</w:t>
      </w:r>
    </w:p>
    <w:p w14:paraId="162D573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│   └── SimulationChart.tsx # 模拟对比图</w:t>
      </w:r>
    </w:p>
    <w:p w14:paraId="5369527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layout/</w:t>
      </w:r>
    </w:p>
    <w:p w14:paraId="7DC4DC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├── Sidebar.tsx</w:t>
      </w:r>
    </w:p>
    <w:p w14:paraId="2AAA044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├── Header.tsx</w:t>
      </w:r>
    </w:p>
    <w:p w14:paraId="044FEB4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    └── Layout.tsx</w:t>
      </w:r>
    </w:p>
    <w:p w14:paraId="6340ED8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pages/                  # 页面组件</w:t>
      </w:r>
    </w:p>
    <w:p w14:paraId="122BCBB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Dashboard.tsx           # 数据驾驶舱</w:t>
      </w:r>
    </w:p>
    <w:p w14:paraId="35CF5DB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RiskMap.tsx             # 风险可视化地图页</w:t>
      </w:r>
    </w:p>
    <w:p w14:paraId="581F8F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Profile.tsx             # 心理画像仪页</w:t>
      </w:r>
    </w:p>
    <w:p w14:paraId="6C5281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Simulator.tsx           # 沉浸式模拟器页</w:t>
      </w:r>
    </w:p>
    <w:p w14:paraId="7C28FDC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Compliance.tsx          # 合规导航仪页</w:t>
      </w:r>
    </w:p>
    <w:p w14:paraId="3875078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Remediation.tsx         # 整改追踪器页</w:t>
      </w:r>
    </w:p>
    <w:p w14:paraId="5328F79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Reports.tsx             # 报告查看页</w:t>
      </w:r>
    </w:p>
    <w:p w14:paraId="0134CB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store/                  # Zustand状态管理</w:t>
      </w:r>
    </w:p>
    <w:p w14:paraId="7D58F4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enterpriseStore.ts</w:t>
      </w:r>
    </w:p>
    <w:p w14:paraId="47E6CE1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riskStore.ts</w:t>
      </w:r>
    </w:p>
    <w:p w14:paraId="51C480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profileStore.ts</w:t>
      </w:r>
    </w:p>
    <w:p w14:paraId="07672BE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types/                  # TypeScript类型定义</w:t>
      </w:r>
    </w:p>
    <w:p w14:paraId="202CC2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index.ts</w:t>
      </w:r>
    </w:p>
    <w:p w14:paraId="182ABD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utils/                  # 工具函数</w:t>
      </w:r>
    </w:p>
    <w:p w14:paraId="236C45A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├── format.ts</w:t>
      </w:r>
    </w:p>
    <w:p w14:paraId="365638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│   └── constants.ts</w:t>
      </w:r>
    </w:p>
    <w:p w14:paraId="5282531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App.tsx</w:t>
      </w:r>
    </w:p>
    <w:p w14:paraId="3E364C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main.tsx</w:t>
      </w:r>
    </w:p>
    <w:p w14:paraId="279F5E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└── index.css</w:t>
      </w:r>
    </w:p>
    <w:p w14:paraId="58F525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index.html</w:t>
      </w:r>
    </w:p>
    <w:p w14:paraId="68611E4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vite.config.ts</w:t>
      </w:r>
    </w:p>
    <w:p w14:paraId="5B9613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tailwind.config.js</w:t>
      </w:r>
    </w:p>
    <w:p w14:paraId="715C55D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tsconfig.json</w:t>
      </w:r>
    </w:p>
    <w:p w14:paraId="6A1DC11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└── package.json</w:t>
      </w:r>
    </w:p>
    <w:p w14:paraId="6209D76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717DF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请生成完整的前端项目骨架，包括所有配置文件和基础组件。</w:t>
      </w:r>
    </w:p>
    <w:p w14:paraId="1A4F3B3D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5.2 页面路由设计</w:t>
      </w:r>
    </w:p>
    <w:p w14:paraId="594404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请实现前端路由系统，使用 react-router-dom v6。</w:t>
      </w:r>
    </w:p>
    <w:p w14:paraId="471B29A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4B78C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【路由配置】</w:t>
      </w:r>
    </w:p>
    <w:p w14:paraId="544C8F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                    → 重定向到 /dashboard</w:t>
      </w:r>
    </w:p>
    <w:p w14:paraId="4CD11E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/dashboard           → 数据驾驶舱（默认首页）</w:t>
      </w:r>
    </w:p>
    <w:p w14:paraId="125F440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/risk-map            → 风险可视化地图</w:t>
      </w:r>
    </w:p>
    <w:p w14:paraId="679400B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/profile             → 心理画像仪</w:t>
      </w:r>
    </w:p>
    <w:p w14:paraId="2BD0BB9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/simulator           → 沉浸式风险模拟器</w:t>
      </w:r>
    </w:p>
    <w:p w14:paraId="74830C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/compliance          → 合规导航仪</w:t>
      </w:r>
    </w:p>
    <w:p w14:paraId="4766083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/remediation         → 整改追踪器</w:t>
      </w:r>
    </w:p>
    <w:p w14:paraId="1011457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/reports             → 报告查看</w:t>
      </w:r>
    </w:p>
    <w:p w14:paraId="0BEF41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B23C7B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【布局设计】</w:t>
      </w:r>
    </w:p>
    <w:p w14:paraId="343B94A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左侧固定侧边栏（240px宽），包含Logo和导航菜单</w:t>
      </w:r>
    </w:p>
    <w:p w14:paraId="3B0CA5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顶部Header（64px高），显示当前企业名称和用户信息</w:t>
      </w:r>
    </w:p>
    <w:p w14:paraId="4FD445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主内容区域自适应填充剩余空间</w:t>
      </w:r>
    </w:p>
    <w:p w14:paraId="0E520F4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侧边栏菜单项：数据驾驶舱、风险地图、心理画像、风险模拟、合规导航、整改追踪、报告中心</w:t>
      </w:r>
    </w:p>
    <w:p w14:paraId="530191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FA1B64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App.tsx 中的路由配置和 Layout 布局组件。</w:t>
      </w:r>
    </w:p>
    <w:p w14:paraId="0D21B09F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5.3 数据驾驶舱页面</w:t>
      </w:r>
    </w:p>
    <w:p w14:paraId="1859B2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src/pages/Dashboard.tsx 数据驾驶舱页面。</w:t>
      </w:r>
    </w:p>
    <w:p w14:paraId="0EAFC0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FF8382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7B8D50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顶部企业选择器：下拉选择当前企业（正常企业A / 轻度风险企业B / 重度风险企业C）</w:t>
      </w:r>
    </w:p>
    <w:p w14:paraId="56ABDE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一键加载模拟数据按钮</w:t>
      </w:r>
    </w:p>
    <w:p w14:paraId="4CAA85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核心指标卡片区域（4个卡片）：</w:t>
      </w:r>
    </w:p>
    <w:p w14:paraId="3F87D20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总体风险等级（带颜色标识）</w:t>
      </w:r>
    </w:p>
    <w:p w14:paraId="19B869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四流匹配度（百分比+进度条）</w:t>
      </w:r>
    </w:p>
    <w:p w14:paraId="29B46F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偏差指数（数值+对比基准线52）</w:t>
      </w:r>
    </w:p>
    <w:p w14:paraId="17DC334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待办整改任务数</w:t>
      </w:r>
    </w:p>
    <w:p w14:paraId="7BDAA4A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风险趋势图（折线图，近6个月风险评分变化）</w:t>
      </w:r>
    </w:p>
    <w:p w14:paraId="055F9E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风险维度分布图（雷达图，7个维度）</w:t>
      </w:r>
    </w:p>
    <w:p w14:paraId="6C38D0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最近风险扫描记录列表</w:t>
      </w:r>
    </w:p>
    <w:p w14:paraId="04103A8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1E67A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【交互要求】</w:t>
      </w:r>
    </w:p>
    <w:p w14:paraId="6F78C58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切换企业时自动刷新所有数据</w:t>
      </w:r>
    </w:p>
    <w:p w14:paraId="455F3EA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点击"一键加载模拟数据"后显示加载动画</w:t>
      </w:r>
    </w:p>
    <w:p w14:paraId="030CD4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各卡片支持点击跳转到对应详情页</w:t>
      </w:r>
    </w:p>
    <w:p w14:paraId="231120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AAF9D1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请使用 Recharts 绘制图表，使用 Tailwind CSS 进行样式设计。</w:t>
      </w:r>
    </w:p>
    <w:p w14:paraId="6D0AB1C7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5.4 风险可视化地图页面</w:t>
      </w:r>
    </w:p>
    <w:p w14:paraId="5EF1D5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src/pages/RiskMap.tsx 风险可视化地图页面。</w:t>
      </w:r>
    </w:p>
    <w:p w14:paraId="1005675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43B35A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56C784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这是核心功能之一，以"红黄绿"三色标注企业各维度风险等级。</w:t>
      </w:r>
    </w:p>
    <w:p w14:paraId="37E5BB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23EBB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【页面布局】</w:t>
      </w:r>
    </w:p>
    <w:p w14:paraId="0015D4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顶部：总体风险等级大标识（红/黄/绿背景色+风险评分）</w:t>
      </w:r>
    </w:p>
    <w:p w14:paraId="465FD0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中部：7个风险维度卡片网格（3列布局）</w:t>
      </w:r>
    </w:p>
    <w:p w14:paraId="050A4AD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每个卡片包含：维度名称、风险等级标识（红/黄/绿圆点）、风险描述</w:t>
      </w:r>
    </w:p>
    <w:p w14:paraId="6641572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卡片支持点击展开详情</w:t>
      </w:r>
    </w:p>
    <w:p w14:paraId="3E8C9E1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底部：双轨语言切换按钮</w:t>
      </w:r>
    </w:p>
    <w:p w14:paraId="560E27D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"老板视角"：显示商业语言描述</w:t>
      </w:r>
    </w:p>
    <w:p w14:paraId="514972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"财务视角"：显示技术语言描述</w:t>
      </w:r>
    </w:p>
    <w:p w14:paraId="7C54FA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62D261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【设计原则】</w:t>
      </w:r>
    </w:p>
    <w:p w14:paraId="38612D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不说"你违法了"，说"你的企业存在经营风险"</w:t>
      </w:r>
    </w:p>
    <w:p w14:paraId="1A9FD3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红色使用 #EF4444（柔和红，降低视觉焦虑）</w:t>
      </w:r>
    </w:p>
    <w:p w14:paraId="401CA3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每个风险卡片有 tooltip 交互，hover显示详细说明</w:t>
      </w:r>
    </w:p>
    <w:p w14:paraId="6F7187B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62BB8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【组件要求】</w:t>
      </w:r>
    </w:p>
    <w:p w14:paraId="740904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RiskMapCard 组件：单个风险维度卡片</w:t>
      </w:r>
    </w:p>
    <w:p w14:paraId="24922E9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LanguageToggle 组件：双轨语言切换</w:t>
      </w:r>
    </w:p>
    <w:p w14:paraId="65F6D6A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RiskLegend 组件：图例说明</w:t>
      </w:r>
    </w:p>
    <w:p w14:paraId="19980A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836387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请实现完整的页面代码和子组件。</w:t>
      </w:r>
    </w:p>
    <w:p w14:paraId="5F819F2C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5.5 心理画像仪页面</w:t>
      </w:r>
    </w:p>
    <w:p w14:paraId="1E3034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src/pages/Profile.tsx 心理画像仪页面。</w:t>
      </w:r>
    </w:p>
    <w:p w14:paraId="2C04DD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A79ED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3FD302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这是核心创新功能，展示老板的决策心理画像。</w:t>
      </w:r>
    </w:p>
    <w:p w14:paraId="559C9A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5780B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【页面布局】</w:t>
      </w:r>
    </w:p>
    <w:p w14:paraId="3A55A0C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顶部：偏差指数大数字展示 + 与基准线52的对比</w:t>
      </w:r>
    </w:p>
    <w:p w14:paraId="7B588C2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中部左侧：六大偏差雷达图</w:t>
      </w:r>
    </w:p>
    <w:p w14:paraId="243E4D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六个维度：掌控欲、损失厌恶、乐观偏差、控制错觉、短期主义、防御心理</w:t>
      </w:r>
    </w:p>
    <w:p w14:paraId="4E94FA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雷达图叠加显示"您的画像"和"同规模企业平均"</w:t>
      </w:r>
    </w:p>
    <w:p w14:paraId="48137E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中部右侧：主导偏差卡片</w:t>
      </w:r>
    </w:p>
    <w:p w14:paraId="7264349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显示得分最高的2个偏差</w:t>
      </w:r>
    </w:p>
    <w:p w14:paraId="080104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每个偏差附带解读文本</w:t>
      </w:r>
    </w:p>
    <w:p w14:paraId="0912EE1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底部：画像解读文本区域</w:t>
      </w:r>
    </w:p>
    <w:p w14:paraId="27E9014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根据主导偏差生成个性化解读</w:t>
      </w:r>
    </w:p>
    <w:p w14:paraId="4F27894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底部固定显示免责声明</w:t>
      </w:r>
    </w:p>
    <w:p w14:paraId="1DE55F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78777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【心理画像卡样式】</w:t>
      </w:r>
    </w:p>
    <w:p w14:paraId="2BA441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参考以下样式设计画像卡：</w:t>
      </w:r>
    </w:p>
    <w:p w14:paraId="169128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┌─────────────────────────────────────────┐</w:t>
      </w:r>
    </w:p>
    <w:p w14:paraId="4349DD4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您的决策心理画像                        │</w:t>
      </w:r>
    </w:p>
    <w:p w14:paraId="6246DB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├─────────────────────────────────────────┤</w:t>
      </w:r>
    </w:p>
    <w:p w14:paraId="794BCED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主导偏差：乐观偏差 + 控制错觉           │</w:t>
      </w:r>
    </w:p>
    <w:p w14:paraId="371004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                              │</w:t>
      </w:r>
    </w:p>
    <w:p w14:paraId="4EDAAF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偏差指数：78/100（高于同规模企业平均52）│</w:t>
      </w:r>
    </w:p>
    <w:p w14:paraId="247A5A5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                              │</w:t>
      </w:r>
    </w:p>
    <w:p w14:paraId="62CE724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这意味着：                              │</w:t>
      </w:r>
    </w:p>
    <w:p w14:paraId="24536B2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您倾向于低估财税风险的概率...           │</w:t>
      </w:r>
    </w:p>
    <w:p w14:paraId="491FA0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                                      │</w:t>
      </w:r>
    </w:p>
    <w:p w14:paraId="78AA89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建议阅读：同行业3个真实稽查案例         │</w:t>
      </w:r>
    </w:p>
    <w:p w14:paraId="12B533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建议行动：优先关注"资金流合规"          │</w:t>
      </w:r>
    </w:p>
    <w:p w14:paraId="3E7C94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└─────────────────────────────────────────┘</w:t>
      </w:r>
    </w:p>
    <w:p w14:paraId="0C37CBE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E4B55F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【组件要求】</w:t>
      </w:r>
    </w:p>
    <w:p w14:paraId="19F3D7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BiasRadarChart 组件：六大偏差雷达图（使用Recharts）</w:t>
      </w:r>
    </w:p>
    <w:p w14:paraId="7049FB9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BiasCard 组件：单偏差展示卡片</w:t>
      </w:r>
    </w:p>
    <w:p w14:paraId="513B820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ProfileSummary 组件：画像总结卡</w:t>
      </w:r>
    </w:p>
    <w:p w14:paraId="3DBD8DF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DisclaimerBanner 组件：免责声明横幅</w:t>
      </w:r>
    </w:p>
    <w:p w14:paraId="6351834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44ECC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请实现完整的页面代码。</w:t>
      </w:r>
    </w:p>
    <w:p w14:paraId="520CF33E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5.6 沉浸式风险模拟器页面</w:t>
      </w:r>
    </w:p>
    <w:p w14:paraId="57996FC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src/pages/Simulator.tsx 沉浸式风险模拟器页面。</w:t>
      </w:r>
    </w:p>
    <w:p w14:paraId="797B0E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B62AD9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5AEC4D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这是核心心理干预功能，模拟不同决策路径的后果推演。</w:t>
      </w:r>
    </w:p>
    <w:p w14:paraId="303C9CE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A1572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【页面布局】</w:t>
      </w:r>
    </w:p>
    <w:p w14:paraId="781A8A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顶部：模拟器输入区域</w:t>
      </w:r>
    </w:p>
    <w:p w14:paraId="0C9B679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每月隐匿收入金额（滑块输入）</w:t>
      </w:r>
    </w:p>
    <w:p w14:paraId="3C87DBD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综合税率（下拉选择：6%/9%/13%）</w:t>
      </w:r>
    </w:p>
    <w:p w14:paraId="159610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当前风险等级（自动带入）</w:t>
      </w:r>
    </w:p>
    <w:p w14:paraId="0CA9D0A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"开始模拟"按钮</w:t>
      </w:r>
    </w:p>
    <w:p w14:paraId="21B25EB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中部：双路径对比图</w:t>
      </w:r>
    </w:p>
    <w:p w14:paraId="58211E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X轴：6个月 / 1年 / 3年</w:t>
      </w:r>
    </w:p>
    <w:p w14:paraId="456C5D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Y轴：累计成本（万元）</w:t>
      </w:r>
    </w:p>
    <w:p w14:paraId="1E1B1F2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路径A（不合规）：红色折线</w:t>
      </w:r>
    </w:p>
    <w:p w14:paraId="330915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路径B（合规整改）：绿色折线</w:t>
      </w:r>
    </w:p>
    <w:p w14:paraId="3AB414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两条线之间的区域用半透明红色填充（表示"多付出的代价"）</w:t>
      </w:r>
    </w:p>
    <w:p w14:paraId="5BC95AF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底部左：损失框架话术区域</w:t>
      </w:r>
    </w:p>
    <w:p w14:paraId="503205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大字号显示"继续当前模式，3年后预计损失 XX万元"</w:t>
      </w:r>
    </w:p>
    <w:p w14:paraId="2D20FF7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对比"现在整改仅需 XX万元"</w:t>
      </w:r>
    </w:p>
    <w:p w14:paraId="1CA12B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底部右：同行业案例引用</w:t>
      </w:r>
    </w:p>
    <w:p w14:paraId="48E648D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展示3个脱敏真实案例</w:t>
      </w:r>
    </w:p>
    <w:p w14:paraId="07C0EF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每个案例卡片：行业、违规行为、查处结果、罚款金额</w:t>
      </w:r>
    </w:p>
    <w:p w14:paraId="35F22D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00A008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【交互要求】</w:t>
      </w:r>
    </w:p>
    <w:p w14:paraId="02B2563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滑块拖动时实时更新模拟结果</w:t>
      </w:r>
    </w:p>
    <w:p w14:paraId="4316767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点击案例卡片可展开查看详情</w:t>
      </w:r>
    </w:p>
    <w:p w14:paraId="36A2BEA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模拟结果有数字滚动动画效果</w:t>
      </w:r>
    </w:p>
    <w:p w14:paraId="3610E1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7C648D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【组件要求】</w:t>
      </w:r>
    </w:p>
    <w:p w14:paraId="3A9A84A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SimulationInputForm 组件：输入表单</w:t>
      </w:r>
    </w:p>
    <w:p w14:paraId="4590BF3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PathComparisonChart 组件：双路径对比图（Recharts）</w:t>
      </w:r>
    </w:p>
    <w:p w14:paraId="13D7C31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LossFrameMessage 组件：损失框架话术展示</w:t>
      </w:r>
    </w:p>
    <w:p w14:paraId="2FEB922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CaseStudyCard 组件：案例引用卡片</w:t>
      </w:r>
    </w:p>
    <w:p w14:paraId="1B700E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BBCD5D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请实现完整的页面代码。</w:t>
      </w:r>
    </w:p>
    <w:p w14:paraId="55ECA135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5.7 合规导航仪页面</w:t>
      </w:r>
    </w:p>
    <w:p w14:paraId="6090E1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src/pages/Compliance.tsx 合规导航仪页面。</w:t>
      </w:r>
    </w:p>
    <w:p w14:paraId="48786BA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0823A8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4C4972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智能匹配可享受的税收优惠+合规路径建议+心理干预策略展示。</w:t>
      </w:r>
    </w:p>
    <w:p w14:paraId="19858FB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D1E34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【页面布局】</w:t>
      </w:r>
    </w:p>
    <w:p w14:paraId="4AEED1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顶部：税收优惠校验结果</w:t>
      </w:r>
    </w:p>
    <w:p w14:paraId="41785FC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小微企业优惠条件核验（3个条件✓/✗标识）</w:t>
      </w:r>
    </w:p>
    <w:p w14:paraId="7CA543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当前享受状态：正确享受 / 错误享受 / 应享未享</w:t>
      </w:r>
    </w:p>
    <w:p w14:paraId="7CBA41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高企动态监测提示（如适用）</w:t>
      </w:r>
    </w:p>
    <w:p w14:paraId="163307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中部：合规路径建议</w:t>
      </w:r>
    </w:p>
    <w:p w14:paraId="7B976F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- 3套整改方案对比（成本/时间/风险三维对比表格）</w:t>
      </w:r>
    </w:p>
    <w:p w14:paraId="5D0597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每套方案：方案名称、预计成本、预计时间、风险降低幅度、推荐指数</w:t>
      </w:r>
    </w:p>
    <w:p w14:paraId="3F123E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底部：五层心理干预策略展示</w:t>
      </w:r>
    </w:p>
    <w:p w14:paraId="59F8F0B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- 5个可折叠卡片，对应五层干预</w:t>
      </w:r>
    </w:p>
    <w:p w14:paraId="7645125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每个卡片：层级编号、策略名称、理论依据、干预内容</w:t>
      </w:r>
    </w:p>
    <w:p w14:paraId="50D19E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根据主导偏差调整展示顺序</w:t>
      </w:r>
    </w:p>
    <w:p w14:paraId="14900D2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183EEE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请实现完整的页面代码。</w:t>
      </w:r>
    </w:p>
    <w:p w14:paraId="7DCC5127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5.8 整改追踪器页面</w:t>
      </w:r>
    </w:p>
    <w:p w14:paraId="6CAA8B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src/pages/Remediation.tsx 整改追踪器页面。</w:t>
      </w:r>
    </w:p>
    <w:p w14:paraId="0A7602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49F84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【功能说明】</w:t>
      </w:r>
    </w:p>
    <w:p w14:paraId="1F337EF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生成整改清单、进度追踪、效果反馈。</w:t>
      </w:r>
    </w:p>
    <w:p w14:paraId="51056F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FDECA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【页面布局】</w:t>
      </w:r>
    </w:p>
    <w:p w14:paraId="3645FE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顶部：整体整改进度</w:t>
      </w:r>
    </w:p>
    <w:p w14:paraId="14A8C3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进度环形图（已完成/进行中/待办）</w:t>
      </w:r>
    </w:p>
    <w:p w14:paraId="44691A9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统计数字：总任务数、已完成、进行中、逾期</w:t>
      </w:r>
    </w:p>
    <w:p w14:paraId="7A7011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中部：整改任务列表</w:t>
      </w:r>
    </w:p>
    <w:p w14:paraId="538CB4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按优先级排序（高→中→低）</w:t>
      </w:r>
    </w:p>
    <w:p w14:paraId="5E3B9BE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每个任务卡片：标题、描述、优先级标签、状态、截止日期、进度条</w:t>
      </w:r>
    </w:p>
    <w:p w14:paraId="4764414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支持修改任务状态（待办→进行中→已完成）</w:t>
      </w:r>
    </w:p>
    <w:p w14:paraId="4C92E6F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支持更新进度百分比</w:t>
      </w:r>
    </w:p>
    <w:p w14:paraId="60D86E4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底部：改善效果反馈</w:t>
      </w:r>
    </w:p>
    <w:p w14:paraId="6D70C1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整改前后风险评分对比图</w:t>
      </w:r>
    </w:p>
    <w:p w14:paraId="2D879AE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偏差指数变化趋势</w:t>
      </w:r>
    </w:p>
    <w:p w14:paraId="229F81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7D3B2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【交互要求】</w:t>
      </w:r>
    </w:p>
    <w:p w14:paraId="1BB59AF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点击任务卡片可编辑详情</w:t>
      </w:r>
    </w:p>
    <w:p w14:paraId="25431B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修改状态后自动更新进度统计</w:t>
      </w:r>
    </w:p>
    <w:p w14:paraId="4EE439A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支持添加新整改任务</w:t>
      </w:r>
    </w:p>
    <w:p w14:paraId="123D649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D1C7F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请实现完整的页面代码。</w:t>
      </w:r>
    </w:p>
    <w:p w14:paraId="045FE938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第六部分：模拟数据生成指令</w:t>
      </w:r>
    </w:p>
    <w:p w14:paraId="33DFD41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 backend/app/data/mock_data_generator.py 模块，生成三类典型企业的模拟数据。</w:t>
      </w:r>
    </w:p>
    <w:p w14:paraId="73824A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601F4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【重要声明】</w:t>
      </w:r>
    </w:p>
    <w:p w14:paraId="70ECCD6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根据德勤比赛规则要求——"禁止使用任何真实企业或个人的保密信息"、"作品中所有所涉数据须为自行构造的模拟数据，或经脱敏处理至无法识别特定主体的数据"——本模块生成的所有数据均为自行构造的模拟数据，不涉及任何真实企业或个人的保密信息。</w:t>
      </w:r>
    </w:p>
    <w:p w14:paraId="2D161B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48AF71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【三类企业定义】</w:t>
      </w:r>
    </w:p>
    <w:p w14:paraId="1A543F7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E6D25E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企业A：正常企业（低风险）</w:t>
      </w:r>
    </w:p>
    <w:p w14:paraId="0894A42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企业名称：杭州明远贸易有限公司</w:t>
      </w:r>
    </w:p>
    <w:p w14:paraId="73EB28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行业：批发零售</w:t>
      </w:r>
    </w:p>
    <w:p w14:paraId="080470D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年营收：3200万元</w:t>
      </w:r>
    </w:p>
    <w:p w14:paraId="773058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员工人数：85人</w:t>
      </w:r>
    </w:p>
    <w:p w14:paraId="2EBD20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总资产：2800万元</w:t>
      </w:r>
    </w:p>
    <w:p w14:paraId="3DD945F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年度应纳税所得额：180万元</w:t>
      </w:r>
    </w:p>
    <w:p w14:paraId="29DE875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私卡收款占比：5%</w:t>
      </w:r>
    </w:p>
    <w:p w14:paraId="04C9E087">
      <w:pPr>
        <w:shd w:val="clear" w:fill="F1F5F9"/>
        <w:spacing w:before="0" w:after="0" w:line="280" w:lineRule="exact"/>
        <w:rPr>
          <w:rFonts w:hint="eastAsia" w:ascii="Consolas" w:hAnsi="Consolas" w:eastAsia="宋体"/>
          <w:color w:val="1E293B"/>
          <w:sz w:val="18"/>
          <w:lang w:eastAsia="zh-CN"/>
        </w:rPr>
      </w:pPr>
      <w:r>
        <w:rPr>
          <w:rFonts w:hint="eastAsia" w:ascii="Consolas" w:hAnsi="Consolas" w:eastAsia="宋体"/>
          <w:color w:val="1E293B"/>
          <w:sz w:val="18"/>
          <w:lang w:eastAsia="zh-CN"/>
        </w:rPr>
        <w:t>- 成本费用率：82%（行业均值85%，偏离度3.5%）</w:t>
      </w:r>
    </w:p>
    <w:p w14:paraId="1D304E9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税负率：3.2%（行业均值3.5%）</w:t>
      </w:r>
    </w:p>
    <w:p w14:paraId="1C1263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年度税务咨询：2次</w:t>
      </w:r>
    </w:p>
    <w:p w14:paraId="28BBED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进销项品名匹配率：85%</w:t>
      </w:r>
    </w:p>
    <w:p w14:paraId="0D494F5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四流匹配度：0.92</w:t>
      </w:r>
    </w:p>
    <w:p w14:paraId="0D0EE53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享受小微优惠：是，且已核查条件</w:t>
      </w:r>
    </w:p>
    <w:p w14:paraId="3CE9D71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大额公转私笔数：1笔</w:t>
      </w:r>
    </w:p>
    <w:p w14:paraId="79D2C30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账目调整频率：季度1次</w:t>
      </w:r>
    </w:p>
    <w:p w14:paraId="39CC1D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历史稽查：无</w:t>
      </w:r>
    </w:p>
    <w:p w14:paraId="3C23DB2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CD8BCD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企业B：轻度风险企业（中风险）</w:t>
      </w:r>
    </w:p>
    <w:p w14:paraId="250E965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企业名称：深圳恒达制造有限公司</w:t>
      </w:r>
    </w:p>
    <w:p w14:paraId="0C1B0F3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行业：制造</w:t>
      </w:r>
    </w:p>
    <w:p w14:paraId="3F12F15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年营收：1800万元</w:t>
      </w:r>
    </w:p>
    <w:p w14:paraId="5B33EC3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员工人数：120人</w:t>
      </w:r>
    </w:p>
    <w:p w14:paraId="4B7923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总资产：3200万元</w:t>
      </w:r>
    </w:p>
    <w:p w14:paraId="7CB799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年度应纳税所得额：95万元</w:t>
      </w:r>
    </w:p>
    <w:p w14:paraId="29FBC70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私卡收款占比：35%</w:t>
      </w:r>
    </w:p>
    <w:p w14:paraId="2E563D90">
      <w:pPr>
        <w:shd w:val="clear" w:fill="F1F5F9"/>
        <w:spacing w:before="0" w:after="0" w:line="280" w:lineRule="exact"/>
        <w:rPr>
          <w:rFonts w:hint="eastAsia" w:eastAsia="微软雅黑"/>
          <w:lang w:eastAsia="zh-CN"/>
        </w:rPr>
      </w:pPr>
      <w:r>
        <w:rPr>
          <w:rFonts w:hint="eastAsia" w:ascii="Consolas" w:hAnsi="Consolas" w:eastAsia="宋体"/>
          <w:color w:val="1E293B"/>
          <w:sz w:val="18"/>
          <w:lang w:eastAsia="zh-CN"/>
        </w:rPr>
        <w:t>- 成本费用率：72%（行业均值85%，偏离度15.3%）</w:t>
      </w:r>
    </w:p>
    <w:p w14:paraId="3F80DEE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税负率：2.1%（行业均值3.5%）</w:t>
      </w:r>
    </w:p>
    <w:p w14:paraId="06BDAB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年度税务咨询：0次</w:t>
      </w:r>
    </w:p>
    <w:p w14:paraId="5A48631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进销项品名匹配率：55%</w:t>
      </w:r>
    </w:p>
    <w:p w14:paraId="42D899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四流匹配度：0.72</w:t>
      </w:r>
    </w:p>
    <w:p w14:paraId="13AA456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享受小微优惠：是，但未核查条件</w:t>
      </w:r>
    </w:p>
    <w:p w14:paraId="007F51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大额公转私笔数：5笔</w:t>
      </w:r>
    </w:p>
    <w:p w14:paraId="3E33272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账目调整频率：季度4次</w:t>
      </w:r>
    </w:p>
    <w:p w14:paraId="27B971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历史稽查：无</w:t>
      </w:r>
    </w:p>
    <w:p w14:paraId="13BF126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EC022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企业C：重度风险企业（高风险）</w:t>
      </w:r>
    </w:p>
    <w:p w14:paraId="46BB1E5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企业名称：广州鑫盛建筑工程有限公司</w:t>
      </w:r>
    </w:p>
    <w:p w14:paraId="666D3F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行业：建筑</w:t>
      </w:r>
    </w:p>
    <w:p w14:paraId="155CE6A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年营收：4500万元</w:t>
      </w:r>
    </w:p>
    <w:p w14:paraId="1C82460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员工人数：65人</w:t>
      </w:r>
    </w:p>
    <w:p w14:paraId="29EF50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总资产：1800万元</w:t>
      </w:r>
    </w:p>
    <w:p w14:paraId="67D3946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年度应纳税所得额：280万元</w:t>
      </w:r>
    </w:p>
    <w:p w14:paraId="7CEC2A2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私卡收款占比：55%</w:t>
      </w:r>
    </w:p>
    <w:p w14:paraId="7DD75ED8">
      <w:pPr>
        <w:shd w:val="clear" w:fill="F1F5F9"/>
        <w:spacing w:before="0" w:after="0" w:line="280" w:lineRule="exact"/>
        <w:rPr>
          <w:rFonts w:hint="eastAsia" w:eastAsia="微软雅黑"/>
          <w:lang w:eastAsia="zh-CN"/>
        </w:rPr>
      </w:pPr>
      <w:r>
        <w:rPr>
          <w:rFonts w:hint="eastAsia" w:ascii="Consolas" w:hAnsi="Consolas" w:eastAsia="宋体"/>
          <w:color w:val="1E293B"/>
          <w:sz w:val="18"/>
          <w:lang w:eastAsia="zh-CN"/>
        </w:rPr>
        <w:t>- 成本费用率：112%（行业均值85%，偏离度31.8%）</w:t>
      </w:r>
    </w:p>
    <w:p w14:paraId="36B59A1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税负率：1.2%（行业均值3.5%）</w:t>
      </w:r>
    </w:p>
    <w:p w14:paraId="421CA53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年度税务咨询：0次</w:t>
      </w:r>
    </w:p>
    <w:p w14:paraId="365431D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进销项品名匹配率：25%</w:t>
      </w:r>
    </w:p>
    <w:p w14:paraId="2770280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四流匹配度：0.45</w:t>
      </w:r>
    </w:p>
    <w:p w14:paraId="402D8A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享受小微优惠：否（未申请任何优惠）</w:t>
      </w:r>
    </w:p>
    <w:p w14:paraId="463C09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大额公转私笔数：15笔</w:t>
      </w:r>
    </w:p>
    <w:p w14:paraId="0F104D1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账目调整频率：季度6次</w:t>
      </w:r>
    </w:p>
    <w:p w14:paraId="0110DD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历史稽查：1次，发现问题后未整改</w:t>
      </w:r>
    </w:p>
    <w:p w14:paraId="5FBCE7D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3C3E47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【模拟数据生成要求】</w:t>
      </w:r>
    </w:p>
    <w:p w14:paraId="5CA69E5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A4E5EF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为每个企业生成以下完整数据集：</w:t>
      </w:r>
    </w:p>
    <w:p w14:paraId="23D358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45C551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银行流水数据（12个月，每月50-100条记录）</w:t>
      </w:r>
    </w:p>
    <w:p w14:paraId="17FDD2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企业公户流水</w:t>
      </w:r>
    </w:p>
    <w:p w14:paraId="285158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法人个人卡流水</w:t>
      </w:r>
    </w:p>
    <w:p w14:paraId="7DED5D1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字段：交易日期、交易类型（收入/支出）、交易对手、金额、备注、账户类型（公户/私卡）</w:t>
      </w:r>
    </w:p>
    <w:p w14:paraId="441A27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368343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发票数据（12个月，每月20-50张发票）</w:t>
      </w:r>
    </w:p>
    <w:p w14:paraId="4D9DF5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进项发票</w:t>
      </w:r>
    </w:p>
    <w:p w14:paraId="03FBCA9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销项发票</w:t>
      </w:r>
    </w:p>
    <w:p w14:paraId="028832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字段：发票号码、开票日期、发票类型（进项/销项）、品名、金额、税额、税率、购买方、销售方</w:t>
      </w:r>
    </w:p>
    <w:p w14:paraId="43EE882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FB14F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纳税申报记录（4个季度）</w:t>
      </w:r>
    </w:p>
    <w:p w14:paraId="58A2972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增值税申报</w:t>
      </w:r>
    </w:p>
    <w:p w14:paraId="0CAFC37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企业所得税申报</w:t>
      </w:r>
    </w:p>
    <w:p w14:paraId="2E6C715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个人所得税申报</w:t>
      </w:r>
    </w:p>
    <w:p w14:paraId="26D9A63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字段：申报期间、税种、应纳税额、已缴税额、申报日期</w:t>
      </w:r>
    </w:p>
    <w:p w14:paraId="21A1DA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442C71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合同台账（20-30份合同）</w:t>
      </w:r>
    </w:p>
    <w:p w14:paraId="12F74CE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销售合同</w:t>
      </w:r>
    </w:p>
    <w:p w14:paraId="625E9E9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采购合同</w:t>
      </w:r>
    </w:p>
    <w:p w14:paraId="2D44920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字段：合同编号、合同类型、签订日期、合同金额、对方单位、履约状态</w:t>
      </w:r>
    </w:p>
    <w:p w14:paraId="00ADED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0044FA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财务报表（4个季度）</w:t>
      </w:r>
    </w:p>
    <w:p w14:paraId="14DFCEA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资产负债表</w:t>
      </w:r>
    </w:p>
    <w:p w14:paraId="7E862E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利润表</w:t>
      </w:r>
    </w:p>
    <w:p w14:paraId="6202834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现金流量表</w:t>
      </w:r>
    </w:p>
    <w:p w14:paraId="20843EC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字段：报表期间、报表类型、总资产、总负债、营业收入、营业成本、净利润、经营活动现金流</w:t>
      </w:r>
    </w:p>
    <w:p w14:paraId="5DE3A6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E7B24F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【函数签名要求】</w:t>
      </w:r>
    </w:p>
    <w:p w14:paraId="79B46E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5A6EB6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from typing import Literal</w:t>
      </w:r>
    </w:p>
    <w:p w14:paraId="2E5A48F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1192D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class MockEnterpriseConfig:</w:t>
      </w:r>
    </w:p>
    <w:p w14:paraId="35794D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"""模拟企业配置"""</w:t>
      </w:r>
    </w:p>
    <w:p w14:paraId="2B1B3B6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ENTERPRISE_A = {...}  # 正常企业</w:t>
      </w:r>
    </w:p>
    <w:p w14:paraId="452B34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ENTERPRISE_B = {...}  # 轻度风险企业</w:t>
      </w:r>
    </w:p>
    <w:p w14:paraId="176B5C6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ENTERPRISE_C = {...}  # 重度风险企业</w:t>
      </w:r>
    </w:p>
    <w:p w14:paraId="137A7BE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1739C2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generate_mock_data(enterprise_type: Literal["A", "B", "C"]) -&gt; dict:</w:t>
      </w:r>
    </w:p>
    <w:p w14:paraId="00FC70B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5AB7371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生成指定类型企业的完整模拟数据集</w:t>
      </w:r>
    </w:p>
    <w:p w14:paraId="1210EB7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5C957C1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3C1E077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enterprise_type: 企业类型 A/B/C</w:t>
      </w:r>
    </w:p>
    <w:p w14:paraId="6B2C072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7DD19B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07DF732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dict: 包含企业信息、银行流水、发票、申报、合同、财务报表的完整数据集</w:t>
      </w:r>
    </w:p>
    <w:p w14:paraId="0411ADC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0CD4DF7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5D28D0C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3EF347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def load_mock_data_to_db(enterprise_type: Literal["A", "B", "C"], db_session) -&gt; str:</w:t>
      </w:r>
    </w:p>
    <w:p w14:paraId="6A1ADC9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3A04762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将模拟数据加载到数据库</w:t>
      </w:r>
    </w:p>
    <w:p w14:paraId="6EBD9D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</w:t>
      </w:r>
    </w:p>
    <w:p w14:paraId="28BC3B7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Args:</w:t>
      </w:r>
    </w:p>
    <w:p w14:paraId="0B458AE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enterprise_type: 企业类型</w:t>
      </w:r>
    </w:p>
    <w:p w14:paraId="364B43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db_session: 数据库会话</w:t>
      </w:r>
    </w:p>
    <w:p w14:paraId="6A38B9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</w:t>
      </w:r>
    </w:p>
    <w:p w14:paraId="539A740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Returns:</w:t>
      </w:r>
    </w:p>
    <w:p w14:paraId="153FD1A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str: 创建的企业ID</w:t>
      </w:r>
    </w:p>
    <w:p w14:paraId="264EDDD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"""</w:t>
      </w:r>
    </w:p>
    <w:p w14:paraId="7DF6669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...</w:t>
      </w:r>
    </w:p>
    <w:p w14:paraId="428AC8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61D5BE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请生成完整的模拟数据生成器代码，确保数据特征与上述三类企业定义完全匹配。</w:t>
      </w:r>
    </w:p>
    <w:p w14:paraId="421F20BF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第七部分：测试指令</w:t>
      </w:r>
    </w:p>
    <w:p w14:paraId="3D099C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请为项目生成完整的测试套件，包括单元测试、集成测试和API测试。</w:t>
      </w:r>
    </w:p>
    <w:p w14:paraId="4BDA18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DE0E46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【测试框架】</w:t>
      </w:r>
    </w:p>
    <w:p w14:paraId="74A19F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后端：pytest + pytest-asyncio + httpx（用于FastAPI测试）</w:t>
      </w:r>
    </w:p>
    <w:p w14:paraId="3CA370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前端：vitest + @testing-library/react</w:t>
      </w:r>
    </w:p>
    <w:p w14:paraId="6CDA51D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18CB51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【后端测试文件清单】</w:t>
      </w:r>
    </w:p>
    <w:p w14:paraId="156621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0BE018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tests/test_four_flow_match.py（已在3.1节定义）</w:t>
      </w:r>
    </w:p>
    <w:p w14:paraId="18260A7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tests/test_risk_engine.py（已在3.2节定义）</w:t>
      </w:r>
    </w:p>
    <w:p w14:paraId="6759BD9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tests/test_profile_engine.py（已在3.3节定义）</w:t>
      </w:r>
    </w:p>
    <w:p w14:paraId="6536515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tests/test_penalty_calculator.py（已在3.4节定义）</w:t>
      </w:r>
    </w:p>
    <w:p w14:paraId="428CDC6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tests/test_simulation_engine.py</w:t>
      </w:r>
    </w:p>
    <w:p w14:paraId="7D7FDE7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测试三个时间节点的成本计算</w:t>
      </w:r>
    </w:p>
    <w:p w14:paraId="004ABC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测试不同风险等级的稽查概率</w:t>
      </w:r>
    </w:p>
    <w:p w14:paraId="226C07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测试损失框架话术生成</w:t>
      </w:r>
    </w:p>
    <w:p w14:paraId="0C8E170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测试案例匹配逻辑</w:t>
      </w:r>
    </w:p>
    <w:p w14:paraId="7F3C611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372E12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tests/test_tax_preference.py</w:t>
      </w:r>
    </w:p>
    <w:p w14:paraId="3687AFE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测试小微优惠条件核验（满足/不满足/部分满足）</w:t>
      </w:r>
    </w:p>
    <w:p w14:paraId="64E21F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测试高企动态监测提示</w:t>
      </w:r>
    </w:p>
    <w:p w14:paraId="47C63E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边界值：从业人数=300、资产=5000万、所得=300万</w:t>
      </w:r>
    </w:p>
    <w:p w14:paraId="0628DA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65849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tests/test_intervention.py</w:t>
      </w:r>
    </w:p>
    <w:p w14:paraId="2916448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测试五层干预策略生成</w:t>
      </w:r>
    </w:p>
    <w:p w14:paraId="5A66D71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测试优先级调整逻辑</w:t>
      </w:r>
    </w:p>
    <w:p w14:paraId="292A56A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测试不同主导偏差的组合场景</w:t>
      </w:r>
    </w:p>
    <w:p w14:paraId="29E9578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9BDF4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8. tests/test_mock_data.py</w:t>
      </w:r>
    </w:p>
    <w:p w14:paraId="7AE82C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验证三类企业数据特征与定义匹配</w:t>
      </w:r>
    </w:p>
    <w:p w14:paraId="6C0A906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验证私卡收款占比、成本费用率等关键指标</w:t>
      </w:r>
    </w:p>
    <w:p w14:paraId="4F188F7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775F6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9. tests/test_api_risk_scan.py</w:t>
      </w:r>
    </w:p>
    <w:p w14:paraId="4F265B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POST /api/enterprises/{id}/risk-scan 接口测试</w:t>
      </w:r>
    </w:p>
    <w:p w14:paraId="1241341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验证返回的风险维度数量和格式</w:t>
      </w:r>
    </w:p>
    <w:p w14:paraId="2F67256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- 验证商业语言/技术语言双轨输出</w:t>
      </w:r>
    </w:p>
    <w:p w14:paraId="642738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03FE5B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10. tests/test_api_profile.py</w:t>
      </w:r>
    </w:p>
    <w:p w14:paraId="6D719B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- POST /api/enterprises/{id}/profile 接口测试</w:t>
      </w:r>
    </w:p>
    <w:p w14:paraId="6F7B1A9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- 验证偏差指数计算</w:t>
      </w:r>
    </w:p>
    <w:p w14:paraId="3163DB8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- 验证免责声明包含在响应中</w:t>
      </w:r>
    </w:p>
    <w:p w14:paraId="7BD82EF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ABDCE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11. tests/test_api_simulation.py</w:t>
      </w:r>
    </w:p>
    <w:p w14:paraId="5D2A0F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- POST /api/enterprises/{id}/simulate 接口测试</w:t>
      </w:r>
    </w:p>
    <w:p w14:paraId="191B83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- 验证三个时间节点的返回</w:t>
      </w:r>
    </w:p>
    <w:p w14:paraId="4819154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- 验证损失框架话术</w:t>
      </w:r>
    </w:p>
    <w:p w14:paraId="3FCBFE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89E766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【前端测试文件清单】</w:t>
      </w:r>
    </w:p>
    <w:p w14:paraId="24D029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0ABB8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src/__tests__/Dashboard.test.tsx</w:t>
      </w:r>
    </w:p>
    <w:p w14:paraId="55D4034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src/__tests__/RiskMap.test.tsx</w:t>
      </w:r>
    </w:p>
    <w:p w14:paraId="1E72B3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src/__tests__/Profile.test.tsx</w:t>
      </w:r>
    </w:p>
    <w:p w14:paraId="30444B2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src/__tests__/Simulator.test.tsx</w:t>
      </w:r>
    </w:p>
    <w:p w14:paraId="61FDAE9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F3A686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【测试覆盖率要求】</w:t>
      </w:r>
    </w:p>
    <w:p w14:paraId="6D2765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后端核心算法模块（core/）覆盖率 ≥ 90%</w:t>
      </w:r>
    </w:p>
    <w:p w14:paraId="6740D4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后端API模块覆盖率 ≥ 80%</w:t>
      </w:r>
    </w:p>
    <w:p w14:paraId="1F73131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前端组件覆盖率 ≥ 70%</w:t>
      </w:r>
    </w:p>
    <w:p w14:paraId="1926AED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CE21E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请生成所有测试文件，并确保测试用例覆盖正常场景、边界场景和异常场景。</w:t>
      </w:r>
    </w:p>
    <w:p w14:paraId="6001997A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第八部分：Docker部署指令</w:t>
      </w:r>
    </w:p>
    <w:p w14:paraId="354CB6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请生成Docker部署配置，实现一键部署。</w:t>
      </w:r>
    </w:p>
    <w:p w14:paraId="6FA1B29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DA4B8D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【文件清单】</w:t>
      </w:r>
    </w:p>
    <w:p w14:paraId="53E0F8E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9D3A61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backend/Dockerfile</w:t>
      </w:r>
    </w:p>
    <w:p w14:paraId="2C5ECB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基于python:3.11-slim</w:t>
      </w:r>
    </w:p>
    <w:p w14:paraId="22B1D87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安装依赖、复制代码、运行FastAPI（uvicorn）</w:t>
      </w:r>
    </w:p>
    <w:p w14:paraId="52D21C8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暴露端口8000</w:t>
      </w:r>
    </w:p>
    <w:p w14:paraId="2B62C8E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7FBB5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frontend/Dockerfile</w:t>
      </w:r>
    </w:p>
    <w:p w14:paraId="24D53B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基于node:20-alpine构建，nginx部署</w:t>
      </w:r>
    </w:p>
    <w:p w14:paraId="50C4BE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构建产物复制到nginx</w:t>
      </w:r>
    </w:p>
    <w:p w14:paraId="28A9FEB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暴露端口80</w:t>
      </w:r>
    </w:p>
    <w:p w14:paraId="30BBA0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62BA0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docker-compose.yml</w:t>
      </w:r>
    </w:p>
    <w:p w14:paraId="219C4B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服务编排：</w:t>
      </w:r>
    </w:p>
    <w:p w14:paraId="23C7551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postgres: PostgreSQL 15</w:t>
      </w:r>
    </w:p>
    <w:p w14:paraId="74437A4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backend: FastAPI应用</w:t>
      </w:r>
    </w:p>
    <w:p w14:paraId="569208A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frontend: Nginx部署的React应用</w:t>
      </w:r>
    </w:p>
    <w:p w14:paraId="5DDD61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nginx: 反向代理（可选，将前端和API统一在80端口）</w:t>
      </w:r>
    </w:p>
    <w:p w14:paraId="7963E1C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数据卷：postgres_data</w:t>
      </w:r>
    </w:p>
    <w:p w14:paraId="7FCA0E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网络：内部网络</w:t>
      </w:r>
    </w:p>
    <w:p w14:paraId="29D140A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环境变量：通过.env文件配置</w:t>
      </w:r>
    </w:p>
    <w:p w14:paraId="087B57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845486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.env.example</w:t>
      </w:r>
    </w:p>
    <w:p w14:paraId="0DDDA2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环境变量模板：</w:t>
      </w:r>
    </w:p>
    <w:p w14:paraId="15D2F3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DATABASE_URL=postgresql://user:pass@postgres:5432/taxmind</w:t>
      </w:r>
    </w:p>
    <w:p w14:paraId="62DA50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DEEPSEEK_API_KEY=your_api_key</w:t>
      </w:r>
    </w:p>
    <w:p w14:paraId="15309E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QWEN_API_KEY=your_api_key</w:t>
      </w:r>
    </w:p>
    <w:p w14:paraId="23B01CD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LLM_PROVIDER=deepseek  # 或 qwen</w:t>
      </w:r>
    </w:p>
    <w:p w14:paraId="5D9E4F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- CORS_ORIGINS=http://localhost:3000</w:t>
      </w:r>
    </w:p>
    <w:p w14:paraId="3E3D34C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F7C085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nginx.conf</w:t>
      </w:r>
    </w:p>
    <w:p w14:paraId="415A0E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前端nginx配置</w:t>
      </w:r>
    </w:p>
    <w:p w14:paraId="65572E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API请求代理到backend:8000</w:t>
      </w:r>
    </w:p>
    <w:p w14:paraId="5C71D9C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60063C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backend/requirements.txt</w:t>
      </w:r>
    </w:p>
    <w:p w14:paraId="22162B9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FastAPI, uvicorn, sqlalchemy, psycopg2-binary, pydantic, alembic, httpx, python-dotenv</w:t>
      </w:r>
    </w:p>
    <w:p w14:paraId="5D2EAEF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C58B94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backend/start.sh</w:t>
      </w:r>
    </w:p>
    <w:p w14:paraId="29B8C3A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启动脚本：</w:t>
      </w:r>
    </w:p>
    <w:p w14:paraId="0FE5D0D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1. 等待PostgreSQL就绪</w:t>
      </w:r>
    </w:p>
    <w:p w14:paraId="2C2704B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2. 运行 alembic upgrade head（数据库迁移）</w:t>
      </w:r>
    </w:p>
    <w:p w14:paraId="30ABF19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3. 加载模拟数据</w:t>
      </w:r>
    </w:p>
    <w:p w14:paraId="1805B8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#   4. 启动 uvicorn</w:t>
      </w:r>
    </w:p>
    <w:p w14:paraId="3C2235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B0A95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【docker-compose.yml 结构要求】</w:t>
      </w:r>
    </w:p>
    <w:p w14:paraId="43F8E26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AC421C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version: '3.8'</w:t>
      </w:r>
    </w:p>
    <w:p w14:paraId="4891AD9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8387FD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services:</w:t>
      </w:r>
    </w:p>
    <w:p w14:paraId="2C547D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postgres:</w:t>
      </w:r>
    </w:p>
    <w:p w14:paraId="682F851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image: postgres:15</w:t>
      </w:r>
    </w:p>
    <w:p w14:paraId="61BEC89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environment:</w:t>
      </w:r>
    </w:p>
    <w:p w14:paraId="2BE4D38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POSTGRES_DB: taxmind</w:t>
      </w:r>
    </w:p>
    <w:p w14:paraId="6DF6B30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POSTGRES_USER: taxmind</w:t>
      </w:r>
    </w:p>
    <w:p w14:paraId="3337E2A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POSTGRES_PASSWORD: taxmind123</w:t>
      </w:r>
    </w:p>
    <w:p w14:paraId="51AB192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volumes:</w:t>
      </w:r>
    </w:p>
    <w:p w14:paraId="7A621A7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- postgres_data:/var/lib/postgresql/data</w:t>
      </w:r>
    </w:p>
    <w:p w14:paraId="1A5270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ports:</w:t>
      </w:r>
    </w:p>
    <w:p w14:paraId="6A71E58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- "5432:5432"</w:t>
      </w:r>
    </w:p>
    <w:p w14:paraId="272581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healthcheck:</w:t>
      </w:r>
    </w:p>
    <w:p w14:paraId="726FE7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test: ["CMD-SHELL", "pg_isready -U taxmind"]</w:t>
      </w:r>
    </w:p>
    <w:p w14:paraId="738C53E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interval: 5s</w:t>
      </w:r>
    </w:p>
    <w:p w14:paraId="6449760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timeout: 5s</w:t>
      </w:r>
    </w:p>
    <w:p w14:paraId="63F88C2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retries: 5</w:t>
      </w:r>
    </w:p>
    <w:p w14:paraId="1079728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5EF457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backend:</w:t>
      </w:r>
    </w:p>
    <w:p w14:paraId="7DCF07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build: ./backend</w:t>
      </w:r>
    </w:p>
    <w:p w14:paraId="1EE484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environment:</w:t>
      </w:r>
    </w:p>
    <w:p w14:paraId="60F4A63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- DATABASE_URL=postgresql://taxmind:taxmind123@postgres:5432/taxmind</w:t>
      </w:r>
    </w:p>
    <w:p w14:paraId="56A9973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depends_on:</w:t>
      </w:r>
    </w:p>
    <w:p w14:paraId="52F81E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postgres:</w:t>
      </w:r>
    </w:p>
    <w:p w14:paraId="637124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  condition: service_healthy</w:t>
      </w:r>
    </w:p>
    <w:p w14:paraId="2A370A2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ports:</w:t>
      </w:r>
    </w:p>
    <w:p w14:paraId="661FCB0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- "8000:8000"</w:t>
      </w:r>
    </w:p>
    <w:p w14:paraId="50EF78A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command: sh /app/start.sh</w:t>
      </w:r>
    </w:p>
    <w:p w14:paraId="6EFC42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DFD863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frontend:</w:t>
      </w:r>
    </w:p>
    <w:p w14:paraId="057B0BA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build: ./frontend</w:t>
      </w:r>
    </w:p>
    <w:p w14:paraId="3E5EEC9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ports:</w:t>
      </w:r>
    </w:p>
    <w:p w14:paraId="5D1B4FB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- "3000:80"</w:t>
      </w:r>
    </w:p>
    <w:p w14:paraId="2894225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depends_on:</w:t>
      </w:r>
    </w:p>
    <w:p w14:paraId="2BDF70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    - backend</w:t>
      </w:r>
    </w:p>
    <w:p w14:paraId="50EC85C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57922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volumes:</w:t>
      </w:r>
    </w:p>
    <w:p w14:paraId="360F62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 postgres_data:</w:t>
      </w:r>
    </w:p>
    <w:p w14:paraId="795107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531B13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【部署说明】</w:t>
      </w:r>
    </w:p>
    <w:p w14:paraId="2D0595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 README.md 部署文档，包含：</w:t>
      </w:r>
    </w:p>
    <w:p w14:paraId="25F56E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环境要求（Docker 20+, Docker Compose 2+）</w:t>
      </w:r>
    </w:p>
    <w:p w14:paraId="7EFEA9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快速启动步骤</w:t>
      </w:r>
    </w:p>
    <w:p w14:paraId="6830EC4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环境变量配置说明</w:t>
      </w:r>
    </w:p>
    <w:p w14:paraId="0FB452F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模拟数据加载说明</w:t>
      </w:r>
    </w:p>
    <w:p w14:paraId="023A5E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常见问题排查</w:t>
      </w:r>
    </w:p>
    <w:p w14:paraId="71BC90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验证部署成功的方法（访问 http://localhost:3000）</w:t>
      </w:r>
    </w:p>
    <w:p w14:paraId="458C425B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第九部分：分阶段实施计划</w:t>
      </w:r>
    </w:p>
    <w:p w14:paraId="2CB5C8A8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b/>
          <w:sz w:val="21"/>
        </w:rPr>
        <w:t>使用说明</w:t>
      </w:r>
      <w:r>
        <w:rPr>
          <w:rFonts w:ascii="微软雅黑" w:hAnsi="微软雅黑" w:eastAsia="微软雅黑"/>
          <w:sz w:val="21"/>
        </w:rPr>
        <w:t>：将以下每个阶段的指令依次发送给Trae，每完成一个阶段后再发送下一个。建议每个阶段完成后进行代码审查和测试。</w:t>
      </w:r>
    </w:p>
    <w:p w14:paraId="68AC4E1C">
      <w:pPr>
        <w:pStyle w:val="4"/>
        <w:spacing w:before="300" w:after="160"/>
        <w:rPr>
          <w:rFonts w:ascii="微软雅黑" w:hAnsi="微软雅黑" w:eastAsia="微软雅黑"/>
          <w:b/>
          <w:color w:val="1E40AF"/>
          <w:sz w:val="30"/>
        </w:rPr>
      </w:pPr>
    </w:p>
    <w:p w14:paraId="2E35A7A0">
      <w:pPr>
        <w:rPr>
          <w:rFonts w:hint="eastAsia"/>
        </w:rPr>
      </w:pPr>
      <w:r>
        <w:rPr>
          <w:rFonts w:hint="eastAsia"/>
        </w:rPr>
        <w:t>【执行指导与优先级标注】</w:t>
      </w:r>
    </w:p>
    <w:p w14:paraId="4AD04619">
      <w:pPr>
        <w:rPr>
          <w:rFonts w:hint="eastAsia"/>
        </w:rPr>
      </w:pPr>
    </w:p>
    <w:p w14:paraId="5CA45C98">
      <w:pPr>
        <w:rPr>
          <w:rFonts w:hint="eastAsia"/>
        </w:rPr>
      </w:pPr>
      <w:r>
        <w:rPr>
          <w:rFonts w:hint="eastAsia"/>
        </w:rPr>
        <w:t>重要提醒：本文档总计约15000字，涵盖完整的SaaS级产品规格。受比赛周期限制（约4-5周），</w:t>
      </w:r>
    </w:p>
    <w:p w14:paraId="703FEFFF">
      <w:pPr>
        <w:rPr>
          <w:rFonts w:hint="eastAsia"/>
        </w:rPr>
      </w:pPr>
      <w:r>
        <w:rPr>
          <w:rFonts w:hint="eastAsia"/>
        </w:rPr>
        <w:t>请按以下优先级执行，确保核心功能完整交付：</w:t>
      </w:r>
    </w:p>
    <w:p w14:paraId="6F965F64">
      <w:pPr>
        <w:rPr>
          <w:rFonts w:hint="eastAsia"/>
        </w:rPr>
      </w:pPr>
    </w:p>
    <w:p w14:paraId="7F7F17E8">
      <w:pPr>
        <w:rPr>
          <w:rFonts w:hint="eastAsia"/>
        </w:rPr>
      </w:pPr>
      <w:r>
        <w:rPr>
          <w:rFonts w:hint="eastAsia"/>
        </w:rPr>
        <w:t>优先级标注说明：</w:t>
      </w:r>
    </w:p>
    <w:p w14:paraId="7D3C4DC5">
      <w:pPr>
        <w:rPr>
          <w:rFonts w:hint="eastAsia"/>
        </w:rPr>
      </w:pPr>
      <w:r>
        <w:rPr>
          <w:rFonts w:hint="eastAsia"/>
        </w:rPr>
        <w:t xml:space="preserve">  [MVP必做] = 比赛演示必须完成的核心功能，缺一不可</w:t>
      </w:r>
    </w:p>
    <w:p w14:paraId="449B062D">
      <w:pPr>
        <w:rPr>
          <w:rFonts w:hint="eastAsia"/>
        </w:rPr>
      </w:pPr>
      <w:r>
        <w:rPr>
          <w:rFonts w:hint="eastAsia"/>
        </w:rPr>
        <w:t xml:space="preserve">  [MVP建议] = 强烈建议完成，显著提升演示效果</w:t>
      </w:r>
    </w:p>
    <w:p w14:paraId="6E412AAC">
      <w:pPr>
        <w:rPr>
          <w:rFonts w:hint="eastAsia"/>
        </w:rPr>
      </w:pPr>
      <w:r>
        <w:rPr>
          <w:rFonts w:hint="eastAsia"/>
        </w:rPr>
        <w:t xml:space="preserve">  [扩展可选] = 锦上添花，时间充裕时实现，否则预留接口即可</w:t>
      </w:r>
    </w:p>
    <w:p w14:paraId="6D6B8C88">
      <w:pPr>
        <w:rPr>
          <w:rFonts w:hint="eastAsia"/>
        </w:rPr>
      </w:pPr>
    </w:p>
    <w:p w14:paraId="301C06E0">
      <w:pPr>
        <w:rPr>
          <w:rFonts w:hint="eastAsia"/>
        </w:rPr>
      </w:pPr>
      <w:r>
        <w:rPr>
          <w:rFonts w:hint="eastAsia"/>
        </w:rPr>
        <w:t>各Phase优先级：</w:t>
      </w:r>
    </w:p>
    <w:p w14:paraId="66440A0D">
      <w:pPr>
        <w:rPr>
          <w:rFonts w:hint="eastAsia"/>
        </w:rPr>
      </w:pPr>
      <w:r>
        <w:rPr>
          <w:rFonts w:hint="eastAsia"/>
        </w:rPr>
        <w:t xml:space="preserve">  Phase 1（项目骨架）      → [MVP必做] 预计1天</w:t>
      </w:r>
    </w:p>
    <w:p w14:paraId="5B6B594E">
      <w:pPr>
        <w:rPr>
          <w:rFonts w:hint="eastAsia"/>
        </w:rPr>
      </w:pPr>
      <w:r>
        <w:rPr>
          <w:rFonts w:hint="eastAsia"/>
        </w:rPr>
        <w:t xml:space="preserve">  Phase 2（数据库模型）    → [MVP必做] 预计1-2天</w:t>
      </w:r>
    </w:p>
    <w:p w14:paraId="0A6CE052">
      <w:pPr>
        <w:rPr>
          <w:rFonts w:hint="eastAsia"/>
        </w:rPr>
      </w:pPr>
      <w:r>
        <w:rPr>
          <w:rFonts w:hint="eastAsia"/>
        </w:rPr>
        <w:t xml:space="preserve">  Phase 3（核心算法）      → [MVP必做] 预计3-4天，是项目成败关键</w:t>
      </w:r>
    </w:p>
    <w:p w14:paraId="47D63BC2">
      <w:pPr>
        <w:rPr>
          <w:rFonts w:hint="eastAsia"/>
        </w:rPr>
      </w:pPr>
      <w:r>
        <w:rPr>
          <w:rFonts w:hint="eastAsia"/>
        </w:rPr>
        <w:t xml:space="preserve">  Phase 4（模拟数据）      → [MVP必做] 预计1天</w:t>
      </w:r>
    </w:p>
    <w:p w14:paraId="447BEFB0">
      <w:pPr>
        <w:rPr>
          <w:rFonts w:hint="eastAsia"/>
        </w:rPr>
      </w:pPr>
      <w:r>
        <w:rPr>
          <w:rFonts w:hint="eastAsia"/>
        </w:rPr>
        <w:t xml:space="preserve">  Phase 5（后端API）       → [MVP必做] 预计2-3天</w:t>
      </w:r>
    </w:p>
    <w:p w14:paraId="0DA00602">
      <w:pPr>
        <w:rPr>
          <w:rFonts w:hint="eastAsia"/>
        </w:rPr>
      </w:pPr>
      <w:r>
        <w:rPr>
          <w:rFonts w:hint="eastAsia"/>
        </w:rPr>
        <w:t xml:space="preserve">  Phase 6（前端页面）      → [MVP必做] 预计3-4天</w:t>
      </w:r>
    </w:p>
    <w:p w14:paraId="074F3584">
      <w:pPr>
        <w:rPr>
          <w:rFonts w:hint="eastAsia"/>
        </w:rPr>
      </w:pPr>
      <w:r>
        <w:rPr>
          <w:rFonts w:hint="eastAsia"/>
        </w:rPr>
        <w:t xml:space="preserve">  Phase 7（测试）          → [MVP建议] 预计1天</w:t>
      </w:r>
    </w:p>
    <w:p w14:paraId="5359575C">
      <w:pPr>
        <w:rPr>
          <w:rFonts w:hint="eastAsia"/>
        </w:rPr>
      </w:pPr>
      <w:r>
        <w:rPr>
          <w:rFonts w:hint="eastAsia"/>
        </w:rPr>
        <w:t xml:space="preserve">  Phase 8（Docker部署）    → [MVP建议] 预计1天</w:t>
      </w:r>
    </w:p>
    <w:p w14:paraId="6C043861">
      <w:pPr>
        <w:rPr>
          <w:rFonts w:hint="eastAsia"/>
        </w:rPr>
      </w:pPr>
    </w:p>
    <w:p w14:paraId="794517A7">
      <w:pPr>
        <w:rPr>
          <w:rFonts w:hint="eastAsia"/>
        </w:rPr>
      </w:pPr>
      <w:r>
        <w:rPr>
          <w:rFonts w:hint="eastAsia"/>
        </w:rPr>
        <w:t>关键建议：</w:t>
      </w:r>
    </w:p>
    <w:p w14:paraId="7EA12D1B">
      <w:pPr>
        <w:rPr>
          <w:rFonts w:hint="eastAsia"/>
        </w:rPr>
      </w:pPr>
      <w:r>
        <w:rPr>
          <w:rFonts w:hint="eastAsia"/>
        </w:rPr>
        <w:t>1. 不要一次性发送整份文档。按Phase逐阶段发送，每阶段完成后人工审查代码质量。</w:t>
      </w:r>
    </w:p>
    <w:p w14:paraId="283405EC">
      <w:pPr>
        <w:rPr>
          <w:rFonts w:hint="eastAsia"/>
        </w:rPr>
      </w:pPr>
      <w:r>
        <w:rPr>
          <w:rFonts w:hint="eastAsia"/>
        </w:rPr>
        <w:t>2. Phase 3（核心算法）工作量最大，建议拆分为3a（四流匹配+风险引擎+心理画像）</w:t>
      </w:r>
    </w:p>
    <w:p w14:paraId="21B39643">
      <w:pPr>
        <w:rPr>
          <w:rFonts w:hint="eastAsia"/>
        </w:rPr>
      </w:pPr>
      <w:r>
        <w:rPr>
          <w:rFonts w:hint="eastAsia"/>
        </w:rPr>
        <w:t xml:space="preserve">   和3b（罚款计算+模拟器+税收优惠+干预策略），分别完成后再继续。</w:t>
      </w:r>
    </w:p>
    <w:p w14:paraId="509F0C1C">
      <w:pPr>
        <w:rPr>
          <w:rFonts w:hint="eastAsia"/>
        </w:rPr>
      </w:pPr>
      <w:r>
        <w:rPr>
          <w:rFonts w:hint="eastAsia"/>
        </w:rPr>
        <w:t>3. Phase 6（前端页面）建议按页面逐个发送指令，每个页面一次交互，完成后验证再继续。</w:t>
      </w:r>
    </w:p>
    <w:p w14:paraId="43A805E6">
      <w:pPr>
        <w:rPr>
          <w:rFonts w:hint="eastAsia"/>
        </w:rPr>
      </w:pPr>
      <w:r>
        <w:rPr>
          <w:rFonts w:hint="eastAsia"/>
        </w:rPr>
        <w:t>4. 核心算法优先于前端页面——先确保四流匹配、风险引擎、心理画像三个模块的代码</w:t>
      </w:r>
    </w:p>
    <w:p w14:paraId="6CCAE766">
      <w:pPr>
        <w:rPr>
          <w:rFonts w:hint="eastAsia"/>
        </w:rPr>
      </w:pPr>
      <w:r>
        <w:rPr>
          <w:rFonts w:hint="eastAsia"/>
        </w:rPr>
        <w:t xml:space="preserve">   逻辑正确并通过测试，再开始前端开发。</w:t>
      </w:r>
    </w:p>
    <w:p w14:paraId="52FA4823">
      <w:pPr>
        <w:rPr>
          <w:rFonts w:hint="eastAsia"/>
        </w:rPr>
      </w:pPr>
      <w:r>
        <w:rPr>
          <w:rFonts w:hint="eastAsia"/>
        </w:rPr>
        <w:t>5. 联调阶段（Phase 6完成后）预留至少2天用于前后端联调、Bug修复和演示准备。</w:t>
      </w:r>
    </w:p>
    <w:p w14:paraId="6053FEFD">
      <w:pPr>
        <w:rPr>
          <w:rFonts w:hint="eastAsia"/>
        </w:rPr>
      </w:pPr>
    </w:p>
    <w:p w14:paraId="55E8D0C6">
      <w:pPr>
        <w:rPr>
          <w:rFonts w:hint="eastAsia"/>
        </w:rPr>
      </w:pPr>
      <w:r>
        <w:rPr>
          <w:rFonts w:hint="eastAsia"/>
        </w:rPr>
        <w:t>MVP核心功能清单（确保这些全部可运行）：</w:t>
      </w:r>
    </w:p>
    <w:p w14:paraId="43248738">
      <w:pPr>
        <w:rPr>
          <w:rFonts w:hint="eastAsia"/>
        </w:rPr>
      </w:pPr>
      <w:r>
        <w:rPr>
          <w:rFonts w:hint="eastAsia"/>
        </w:rPr>
        <w:t xml:space="preserve">  后端：四流匹配计算 + 风险扫描引擎 + 心理画像评分 + 罚款计算 + 模拟数据生成</w:t>
      </w:r>
    </w:p>
    <w:p w14:paraId="750578C5">
      <w:pPr>
        <w:rPr>
          <w:rFonts w:hint="eastAsia"/>
        </w:rPr>
      </w:pPr>
      <w:r>
        <w:rPr>
          <w:rFonts w:hint="eastAsia"/>
        </w:rPr>
        <w:t xml:space="preserve">  前端：数据驾驶舱 + 风险可视化地图 + 心理画像仪 + 沉浸式风险模拟器</w:t>
      </w:r>
    </w:p>
    <w:p w14:paraId="0AE7B3A4">
      <w:r>
        <w:rPr>
          <w:rFonts w:hint="eastAsia"/>
        </w:rPr>
        <w:t xml:space="preserve">  部署：Docker一键启动 + 模拟数据自动加载</w:t>
      </w:r>
    </w:p>
    <w:p w14:paraId="1D0142C1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1: 项目骨架搭建</w:t>
      </w:r>
    </w:p>
    <w:p w14:paraId="0B87205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【Phase 1 指令】</w:t>
      </w:r>
    </w:p>
    <w:p w14:paraId="05CC2D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DA7E9C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请创建「税智·心判」项目的完整目录骨架。项目是一个前后端分离的财税合规决策支持系统。</w:t>
      </w:r>
    </w:p>
    <w:p w14:paraId="5116B1E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F60A1F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后端技术栈：Python 3.11 + FastAPI + SQLAlchemy 2.0 + PostgreSQL + Alembic</w:t>
      </w:r>
    </w:p>
    <w:p w14:paraId="0165139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前端技术栈：React 18 + TypeScript + Vite 5 + Tailwind CSS 3.4 + Zustand + Recharts</w:t>
      </w:r>
    </w:p>
    <w:p w14:paraId="3DF9499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B69A7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请创建以下目录结构并生成基础配置文件：</w:t>
      </w:r>
    </w:p>
    <w:p w14:paraId="0E4DF2B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3767D0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backend/</w:t>
      </w:r>
    </w:p>
    <w:p w14:paraId="5D82EA2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app/</w:t>
      </w:r>
    </w:p>
    <w:p w14:paraId="51003DF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__init__.py</w:t>
      </w:r>
    </w:p>
    <w:p w14:paraId="338B182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main.py                    # FastAPI入口</w:t>
      </w:r>
    </w:p>
    <w:p w14:paraId="265509B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config.py                  # 配置管理（pydantic-settings）</w:t>
      </w:r>
    </w:p>
    <w:p w14:paraId="05C9088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database.py                # 数据库连接</w:t>
      </w:r>
    </w:p>
    <w:p w14:paraId="54B7FF4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models/                    # SQLAlchemy模型</w:t>
      </w:r>
    </w:p>
    <w:p w14:paraId="7BFC3F3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schemas/                   # Pydantic模型</w:t>
      </w:r>
    </w:p>
    <w:p w14:paraId="091880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api/                       # API路由</w:t>
      </w:r>
    </w:p>
    <w:p w14:paraId="11A992A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core/                      # 核心算法</w:t>
      </w:r>
    </w:p>
    <w:p w14:paraId="5CBE413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services/                  # 服务层</w:t>
      </w:r>
    </w:p>
    <w:p w14:paraId="1A48F05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└── data/                      # 模拟数据</w:t>
      </w:r>
    </w:p>
    <w:p w14:paraId="140A15D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alembic/                       # 数据库迁移</w:t>
      </w:r>
    </w:p>
    <w:p w14:paraId="0BACF90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tests/                         # 测试</w:t>
      </w:r>
    </w:p>
    <w:p w14:paraId="0C1C149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requirements.txt</w:t>
      </w:r>
    </w:p>
    <w:p w14:paraId="49936D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Dockerfile</w:t>
      </w:r>
    </w:p>
    <w:p w14:paraId="0FA2C6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└── start.sh</w:t>
      </w:r>
    </w:p>
    <w:p w14:paraId="7BCB71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7EBDB62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frontend/</w:t>
      </w:r>
    </w:p>
    <w:p w14:paraId="37545CF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src/</w:t>
      </w:r>
    </w:p>
    <w:p w14:paraId="73C8918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api/</w:t>
      </w:r>
    </w:p>
    <w:p w14:paraId="6E70072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components/</w:t>
      </w:r>
    </w:p>
    <w:p w14:paraId="66DF8E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pages/</w:t>
      </w:r>
    </w:p>
    <w:p w14:paraId="34F8D30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store/</w:t>
      </w:r>
    </w:p>
    <w:p w14:paraId="2C135EA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types/</w:t>
      </w:r>
    </w:p>
    <w:p w14:paraId="437403C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utils/</w:t>
      </w:r>
    </w:p>
    <w:p w14:paraId="648E3B7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├── App.tsx</w:t>
      </w:r>
    </w:p>
    <w:p w14:paraId="52F6343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│   └── main.tsx</w:t>
      </w:r>
    </w:p>
    <w:p w14:paraId="7A3FC20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package.json</w:t>
      </w:r>
    </w:p>
    <w:p w14:paraId="3FA15C6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vite.config.ts</w:t>
      </w:r>
    </w:p>
    <w:p w14:paraId="27743B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tailwind.config.js</w:t>
      </w:r>
    </w:p>
    <w:p w14:paraId="63A462B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├── tsconfig.json</w:t>
      </w:r>
    </w:p>
    <w:p w14:paraId="39724E1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└── Dockerfile</w:t>
      </w:r>
    </w:p>
    <w:p w14:paraId="3930A35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3EDD66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docker-compose.yml</w:t>
      </w:r>
    </w:p>
    <w:p w14:paraId="635BEB3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.env.example</w:t>
      </w:r>
    </w:p>
    <w:p w14:paraId="710BC53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README.md</w:t>
      </w:r>
    </w:p>
    <w:p w14:paraId="22026CD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041A9B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请生成所有基础配置文件，确保：</w:t>
      </w:r>
    </w:p>
    <w:p w14:paraId="24EBD64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backend/requirements.txt 包含所有必要依赖</w:t>
      </w:r>
    </w:p>
    <w:p w14:paraId="6FCB654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frontend/package.json 包含所有必要依赖</w:t>
      </w:r>
    </w:p>
    <w:p w14:paraId="077CB8F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backend/app/config.py 使用 pydantic-settings 管理环境变量</w:t>
      </w:r>
    </w:p>
    <w:p w14:paraId="021B8E0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backend/app/main.py 创建FastAPI实例，配置CORS，注册路由占位</w:t>
      </w:r>
    </w:p>
    <w:p w14:paraId="3BB8328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frontend/tailwind.config.js 配置自定义配色方案</w:t>
      </w:r>
    </w:p>
    <w:p w14:paraId="2BF1D46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docker-compose.yml 编排 postgres + backend + frontend 三个服务</w:t>
      </w:r>
    </w:p>
    <w:p w14:paraId="28225A4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README.md 包含项目简介和启动说明</w:t>
      </w:r>
    </w:p>
    <w:p w14:paraId="7D86D39F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2: 数据库与数据模型</w:t>
      </w:r>
    </w:p>
    <w:p w14:paraId="1B76D1E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【Phase 2 指令】</w:t>
      </w:r>
    </w:p>
    <w:p w14:paraId="39C4864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E50C5B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请实现数据库层，包括SQLAlchemy模型、数据库连接配置和Alembic迁移。</w:t>
      </w:r>
    </w:p>
    <w:p w14:paraId="5014988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609DFA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参照本文档"第二部分：数据库设计指令"中的9张表定义，生成：</w:t>
      </w:r>
    </w:p>
    <w:p w14:paraId="3C96486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backend/app/database.py - 数据库连接和会话管理</w:t>
      </w:r>
    </w:p>
    <w:p w14:paraId="4BB05BE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backend/app/models/ 目录下所有模型文件</w:t>
      </w:r>
    </w:p>
    <w:p w14:paraId="2869E13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backend/app/config.py - 完整配置（数据库URL、API密钥等）</w:t>
      </w:r>
    </w:p>
    <w:p w14:paraId="7A5F1E2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alembic.ini 和 alembic/ 迁移配置</w:t>
      </w:r>
    </w:p>
    <w:p w14:paraId="6AAAF59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生成初始迁移脚本</w:t>
      </w:r>
    </w:p>
    <w:p w14:paraId="0F44B7E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73EAFE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确保：</w:t>
      </w:r>
    </w:p>
    <w:p w14:paraId="56FA983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所有模型继承自同一个 Base 声明式基类</w:t>
      </w:r>
    </w:p>
    <w:p w14:paraId="34AB118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UUID主键使用 sqlalchemy.dialects.postgresql.UUID</w:t>
      </w:r>
    </w:p>
    <w:p w14:paraId="05CAC01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时间字段使用 sqlalchemy.DateTime(timezone=True)</w:t>
      </w:r>
    </w:p>
    <w:p w14:paraId="07A39CF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枚举使用 sqlalchemy.Enum 或 VARCHAR + CHECK</w:t>
      </w:r>
    </w:p>
    <w:p w14:paraId="18A6805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金额字段使用 Numeric(15,2)，百分比字段使用 Numeric(5,2)</w:t>
      </w:r>
    </w:p>
    <w:p w14:paraId="0B72310F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3: 核心算法实现</w:t>
      </w:r>
    </w:p>
    <w:p w14:paraId="12C034C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Phase 3a: 核心算法（MVP核心三模块）[MVP必做]</w:t>
      </w:r>
    </w:p>
    <w:p w14:paraId="21426CB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【Phase 3a 指令】</w:t>
      </w:r>
    </w:p>
    <w:p w14:paraId="564C2E3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C791BF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请先实现以下三个最核心的算法模块，它们是项目的差异化壁垒：</w:t>
      </w:r>
    </w:p>
    <w:p w14:paraId="0E92A7C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BBD69E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backend/app/core/four_flow_match.py - 四流匹配度计算</w:t>
      </w:r>
    </w:p>
    <w:p w14:paraId="0AB6D64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backend/app/core/risk_engine.py - 风险识别规则引擎（依赖four_flow_match）</w:t>
      </w:r>
    </w:p>
    <w:p w14:paraId="067C6BA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backend/app/core/profile_engine.py - 心理画像评分模型</w:t>
      </w:r>
    </w:p>
    <w:p w14:paraId="7CE7902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2B83E1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同时为每个模块生成单元测试文件（tests/test_four_flow_match.py、tests/test_risk_engine.py、</w:t>
      </w:r>
    </w:p>
    <w:p w14:paraId="440624E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tests/test_profile_engine.py），覆盖正常场景、边界场景和异常场景。</w:t>
      </w:r>
    </w:p>
    <w:p w14:paraId="3A61AFC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5579A50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关键要求：</w:t>
      </w:r>
    </w:p>
    <w:p w14:paraId="7E1A626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所有财税计算逻辑必须硬编码，禁止依赖大模型</w:t>
      </w:r>
    </w:p>
    <w:p w14:paraId="34F1C0D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函数签名严格按照"第三部分：核心算法实现指令"中3.1-3.3的定义</w:t>
      </w:r>
    </w:p>
    <w:p w14:paraId="0E43D11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边界条件必须处理</w:t>
      </w:r>
    </w:p>
    <w:p w14:paraId="2D1B768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每个函数必须有完整docstring</w:t>
      </w:r>
    </w:p>
    <w:p w14:paraId="7B3E194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商业语言/技术语言双轨输出</w:t>
      </w:r>
    </w:p>
    <w:p w14:paraId="58E5BDB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14136B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完成3a后，请运行测试确认三个模块逻辑正确，再继续3b。</w:t>
      </w:r>
    </w:p>
    <w:p w14:paraId="570C811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57D38AF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---</w:t>
      </w:r>
    </w:p>
    <w:p w14:paraId="41C1387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4329E91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Phase 3b: 核心算法（扩展模块）[MVP建议]</w:t>
      </w:r>
    </w:p>
    <w:p w14:paraId="240988C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【Phase 3b 指令】</w:t>
      </w:r>
    </w:p>
    <w:p w14:paraId="1D2F463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228F3B7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在3a通过测试后，请继续实现以下扩展模块：</w:t>
      </w:r>
    </w:p>
    <w:p w14:paraId="3EC9770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79F0E16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backend/app/core/penalty_calculator.py - 罚款计算逻辑</w:t>
      </w:r>
    </w:p>
    <w:p w14:paraId="56D9C4A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5. backend/app/core/simulation_engine.py - 沉浸式风险模拟器</w:t>
      </w:r>
    </w:p>
    <w:p w14:paraId="054360C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6. backend/app/core/tax_preference.py - 税收优惠适用性校验</w:t>
      </w:r>
    </w:p>
    <w:p w14:paraId="444E343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7. backend/app/core/intervention.py - 心理干预策略引擎</w:t>
      </w:r>
    </w:p>
    <w:p w14:paraId="17D8ED0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4AF767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同时生成：</w:t>
      </w:r>
    </w:p>
    <w:p w14:paraId="326F78F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8. backend/app/data/case_studies.json - 脱敏案例库（至少9个案例）</w:t>
      </w:r>
    </w:p>
    <w:p w14:paraId="45ED2FC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9EA37E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并为每个模块生成对应的单元测试文件。</w:t>
      </w:r>
    </w:p>
    <w:p w14:paraId="212C405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CE71D7A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函数签名严格按照"第三部分：核心算法实现指令"中3.4-3.7的定义。</w:t>
      </w:r>
    </w:p>
    <w:p w14:paraId="5A206514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4: 模拟数据生成</w:t>
      </w:r>
    </w:p>
    <w:p w14:paraId="1EB2A0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【Phase 4 指令】</w:t>
      </w:r>
    </w:p>
    <w:p w14:paraId="019B901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998B3D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请实现模拟数据生成模块。</w:t>
      </w:r>
    </w:p>
    <w:p w14:paraId="5E80F8B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31DFFA9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按照本文档"第六部分：模拟数据生成指令"中的要求，生成：</w:t>
      </w:r>
    </w:p>
    <w:p w14:paraId="18DA816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backend/app/data/mock_data_generator.py - 模拟数据生成器</w:t>
      </w:r>
    </w:p>
    <w:p w14:paraId="5744DC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backend/app/data/industry_benchmarks.json - 行业基准数据</w:t>
      </w:r>
    </w:p>
    <w:p w14:paraId="1A4C8FA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BCF4B9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确保：</w:t>
      </w:r>
    </w:p>
    <w:p w14:paraId="183330E8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三类企业（A正常/B轻度风险/C重度风险）的数据特征与定义完全匹配</w:t>
      </w:r>
    </w:p>
    <w:p w14:paraId="2E86760E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每个企业生成12个月的完整数据集</w:t>
      </w:r>
    </w:p>
    <w:p w14:paraId="39D03B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数据量适中（足以演示功能，不过度臃肿）</w:t>
      </w:r>
    </w:p>
    <w:p w14:paraId="6DCECF4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- 所有数据均为自行构造的模拟数据</w:t>
      </w:r>
    </w:p>
    <w:p w14:paraId="50C6028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315F8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生成后，编写一个脚本 backend/scripts/init_mock_data.py，可以一键将三类企业的模拟数据导入数据库。</w:t>
      </w:r>
    </w:p>
    <w:p w14:paraId="09E45009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5: 后端API实现</w:t>
      </w:r>
    </w:p>
    <w:p w14:paraId="59D124D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【Phase 5 指令】</w:t>
      </w:r>
    </w:p>
    <w:p w14:paraId="4FFAED0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42AA52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请实现所有后端API接口。</w:t>
      </w:r>
    </w:p>
    <w:p w14:paraId="4C94D7E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A5FFF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按照本文档"第四部分：后端API接口设计指令"中的9组API，依次实现：</w:t>
      </w:r>
    </w:p>
    <w:p w14:paraId="2F83FB5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backend/app/api/deps.py - 统一响应封装和依赖注入</w:t>
      </w:r>
    </w:p>
    <w:p w14:paraId="4CF2CC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backend/app/api/enterprises.py - 企业管理API</w:t>
      </w:r>
    </w:p>
    <w:p w14:paraId="37BB74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backend/app/api/data_ingestion.py - 数据接入API</w:t>
      </w:r>
    </w:p>
    <w:p w14:paraId="3E79E8C9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backend/app/api/risk_scan.py - 风险扫描API</w:t>
      </w:r>
    </w:p>
    <w:p w14:paraId="6F0EEEE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backend/app/api/profile.py - 心理画像API</w:t>
      </w:r>
    </w:p>
    <w:p w14:paraId="727A2B2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backend/app/api/simulation.py - 风险模拟API</w:t>
      </w:r>
    </w:p>
    <w:p w14:paraId="58129F4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7. backend/app/api/compliance.py - 合规导航API</w:t>
      </w:r>
    </w:p>
    <w:p w14:paraId="197F39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8. backend/app/api/remediation.py - 整改追踪API</w:t>
      </w:r>
    </w:p>
    <w:p w14:paraId="3D0E8EA4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9. backend/app/api/reports.py - 报告生成API</w:t>
      </w:r>
    </w:p>
    <w:p w14:paraId="42204AE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10. backend/app/api/ai_assistant.py - 大模型辅助API [扩展可选，原型阶段仅实现Mock版本]</w:t>
      </w:r>
    </w:p>
    <w:p w14:paraId="2006085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11. backend/app/services/llm_service.py - 大模型服务封装 [扩展可选，原型阶段仅实现Mock版本]</w:t>
      </w:r>
    </w:p>
    <w:p w14:paraId="0F8446F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12. backend/app/schemas/ - 所有Pydantic schema定义</w:t>
      </w:r>
    </w:p>
    <w:p w14:paraId="2B6F308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561D59A5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更新 backend/app/main.py 注册所有路由。</w:t>
      </w:r>
    </w:p>
    <w:p w14:paraId="5DAB960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0FFDEAC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关键要求：</w:t>
      </w:r>
    </w:p>
    <w:p w14:paraId="31FB6D3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统一响应格式 {code, message, data}</w:t>
      </w:r>
    </w:p>
    <w:p w14:paraId="31C47A3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统一错误码：200成功、40001数据缺失、40002参数异常、50000内部错误</w:t>
      </w:r>
    </w:p>
    <w:p w14:paraId="78E3984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CORS允许前端跨域访问</w:t>
      </w:r>
    </w:p>
    <w:p w14:paraId="04F2F0C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大模型调用有超时和重试机制</w:t>
      </w:r>
    </w:p>
    <w:p w14:paraId="798393F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所有API有请求日志</w:t>
      </w:r>
    </w:p>
    <w:p w14:paraId="09DCD20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大模型辅助API（ai_assistant.py）在原型阶段仅实现Mock版本：chat接口返回预设文本，</w:t>
      </w:r>
    </w:p>
    <w:p w14:paraId="56F1ECF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polish_report接口返回原文不做修改。真实大模型调用作为产品化阶段的扩展功能。</w:t>
      </w:r>
    </w:p>
    <w:p w14:paraId="4D2F7AC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但在AI协作日志中需记录此设计决策，说明"核心财税逻辑使用规则引擎硬编码，大模型</w:t>
      </w:r>
    </w:p>
    <w:p w14:paraId="4165FFD1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仅用于非精确计算场景，原型阶段采用Mock实现"。</w:t>
      </w:r>
    </w:p>
    <w:p w14:paraId="5574D26B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6: 前端页面实现</w:t>
      </w:r>
    </w:p>
    <w:p w14:paraId="6323042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Phase 6a: 前端基础与MVP核心页面 [MVP必做]</w:t>
      </w:r>
    </w:p>
    <w:p w14:paraId="5E1685C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【Phase 6a 指令】</w:t>
      </w:r>
    </w:p>
    <w:p w14:paraId="0A4D2A7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2B4DF1F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请先完成前端项目初始化和4个核心页面（它们是演示的主体）：</w:t>
      </w:r>
    </w:p>
    <w:p w14:paraId="487B9BA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544A328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前端项目初始化和配置文件（含 Tailwind CSS 自定义配色）</w:t>
      </w:r>
    </w:p>
    <w:p w14:paraId="32B53D1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路由系统和布局组件（Sidebar + Header + Layout）</w:t>
      </w:r>
    </w:p>
    <w:p w14:paraId="159AC4B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src/pages/Dashboard.tsx - 数据驾驶舱</w:t>
      </w:r>
    </w:p>
    <w:p w14:paraId="52A4D5C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src/pages/RiskMap.tsx - 风险可视化地图</w:t>
      </w:r>
    </w:p>
    <w:p w14:paraId="76ACF41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5. src/pages/Profile.tsx - 心理画像仪</w:t>
      </w:r>
    </w:p>
    <w:p w14:paraId="5E20DED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6. src/pages/Simulator.tsx - 沉浸式风险模拟器</w:t>
      </w:r>
    </w:p>
    <w:p w14:paraId="0F5F63C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DEAF245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同时实现以上页面所需的：</w:t>
      </w:r>
    </w:p>
    <w:p w14:paraId="3168E40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src/api/client.ts - axios实例+拦截器</w:t>
      </w:r>
    </w:p>
    <w:p w14:paraId="738BFF2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src/api/ 下与上述页面对应的API请求封装</w:t>
      </w:r>
    </w:p>
    <w:p w14:paraId="2C4DFF1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src/store/ 下Zustand状态管理</w:t>
      </w:r>
    </w:p>
    <w:p w14:paraId="46CEDA8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src/types/index.ts 类型定义</w:t>
      </w:r>
    </w:p>
    <w:p w14:paraId="370EB69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src/components/common/ 和 src/components/charts/ 中的通用组件</w:t>
      </w:r>
    </w:p>
    <w:p w14:paraId="56465F1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35B038C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关键要求：</w:t>
      </w:r>
    </w:p>
    <w:p w14:paraId="3C10CF2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所有用户可见文案使用中文</w:t>
      </w:r>
    </w:p>
    <w:p w14:paraId="6C0E4E7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风险等级颜色：高风险#EF4444、中风险#F59E0B、低风险#10B981</w:t>
      </w:r>
    </w:p>
    <w:p w14:paraId="2AB9BD9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使用Recharts绘制图表</w:t>
      </w:r>
    </w:p>
    <w:p w14:paraId="13AA341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响应式布局</w:t>
      </w:r>
    </w:p>
    <w:p w14:paraId="0197031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 心理画像页必须包含免责声明</w:t>
      </w:r>
    </w:p>
    <w:p w14:paraId="6CAD451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7BE6E01E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建议引入Ant Design（antd）或shadcn/ui作为基础UI组件库，减少从零实现通用组件的工作量：</w:t>
      </w:r>
    </w:p>
    <w:p w14:paraId="6C47872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 xml:space="preserve">  npm install antd @ant-design/icons</w:t>
      </w:r>
    </w:p>
    <w:p w14:paraId="5D2B88F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51DB1F8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完成6a后请验证：切换企业可刷新数据、风险地图红黄绿三色正确、心理画像雷达图可展示、</w:t>
      </w:r>
    </w:p>
    <w:p w14:paraId="1957A5A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模拟器双路径对比图可交互。</w:t>
      </w:r>
    </w:p>
    <w:p w14:paraId="1AAC00F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1B2263D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---</w:t>
      </w:r>
    </w:p>
    <w:p w14:paraId="77D1AA5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4758A07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Phase 6b: 前端扩展页面 [MVP建议]</w:t>
      </w:r>
    </w:p>
    <w:p w14:paraId="74084CB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【Phase 6b 指令】</w:t>
      </w:r>
    </w:p>
    <w:p w14:paraId="18F3D85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7C3F47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在6a验证通过后，请继续实现扩展页面：</w:t>
      </w:r>
    </w:p>
    <w:p w14:paraId="0494A18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C5F211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7. src/pages/Compliance.tsx - 合规导航仪</w:t>
      </w:r>
    </w:p>
    <w:p w14:paraId="11B9C54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8. src/pages/Remediation.tsx - 整改追踪器</w:t>
      </w:r>
    </w:p>
    <w:p w14:paraId="0B6E37F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9. src/pages/Reports.tsx - 报告查看页</w:t>
      </w:r>
    </w:p>
    <w:p w14:paraId="3C7B477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438A995A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同时补齐 src/api/ 中对应的API请求封装。</w:t>
      </w:r>
    </w:p>
    <w:p w14:paraId="2BC469EC">
      <w:pPr>
        <w:pStyle w:val="4"/>
        <w:spacing w:before="300" w:after="160"/>
      </w:pPr>
      <w:r>
        <w:rPr>
          <w:rFonts w:ascii="微软雅黑" w:hAnsi="微软雅黑" w:eastAsia="微软雅黑"/>
          <w:b/>
          <w:color w:val="1E40AF"/>
          <w:sz w:val="30"/>
        </w:rPr>
        <w:t>Phase 7: 测试与集成</w:t>
      </w:r>
    </w:p>
    <w:p w14:paraId="695515B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Phase 7: 测试与集成 [MVP建议]</w:t>
      </w:r>
    </w:p>
    <w:p w14:paraId="31ADC0F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【Phase 7 指令】</w:t>
      </w:r>
    </w:p>
    <w:p w14:paraId="49571B5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6C5E4EB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请实现核心算法的单元测试并进行端到端集成验证。</w:t>
      </w:r>
    </w:p>
    <w:p w14:paraId="55C1391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78051FB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优先完成以下测试（这些测试同时满足比赛加分项"提交了由AI自动生成的测试用例"）：</w:t>
      </w:r>
    </w:p>
    <w:p w14:paraId="68CF0DB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18C2847D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tests/test_four_flow_match.py - 四流匹配测试（已在Phase 3a生成，此处验证通过）</w:t>
      </w:r>
    </w:p>
    <w:p w14:paraId="43D7B43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tests/test_risk_engine.py - 风险引擎测试（同上）</w:t>
      </w:r>
    </w:p>
    <w:p w14:paraId="255D07F1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tests/test_profile_engine.py - 心理画像测试（同上）</w:t>
      </w:r>
    </w:p>
    <w:p w14:paraId="09C3404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tests/test_penalty_calculator.py - 罚款计算测试（Phase 3b生成）</w:t>
      </w:r>
    </w:p>
    <w:p w14:paraId="11A22A6C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5. tests/test_simulation_engine.py - 模拟器测试（Phase 3b生成）</w:t>
      </w:r>
    </w:p>
    <w:p w14:paraId="1E8A19E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6. tests/test_mock_data.py - 验证三类企业数据特征与定义匹配</w:t>
      </w:r>
    </w:p>
    <w:p w14:paraId="35FC14D0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3D152F9F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核心算法模块（core/）的测试覆盖率目标 ≥ 90%。</w:t>
      </w:r>
    </w:p>
    <w:p w14:paraId="7E185D23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2A747AF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API测试和前端组件测试：时间充裕时补充，否则跳过。</w:t>
      </w:r>
    </w:p>
    <w:p w14:paraId="7C6E69F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7A937189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集成验证步骤：</w:t>
      </w:r>
    </w:p>
    <w:p w14:paraId="5A248DD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启动PostgreSQL数据库</w:t>
      </w:r>
    </w:p>
    <w:p w14:paraId="600A483A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运行数据库迁移</w:t>
      </w:r>
    </w:p>
    <w:p w14:paraId="388BA0B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加载模拟数据（三类企业）</w:t>
      </w:r>
    </w:p>
    <w:p w14:paraId="26A40FE6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4. 启动后端API服务</w:t>
      </w:r>
    </w:p>
    <w:p w14:paraId="6FFEDB7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5. 启动前端开发服务器</w:t>
      </w:r>
    </w:p>
    <w:p w14:paraId="7B0553BD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6. 手动验证：切换三类企业→风险扫描→心理画像→风险模拟→整改追踪 全流程可跑通</w:t>
      </w:r>
    </w:p>
    <w:p w14:paraId="6C18771F">
      <w:pPr>
        <w:pStyle w:val="4"/>
        <w:spacing w:before="300" w:after="16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E40AF"/>
          <w:sz w:val="30"/>
        </w:rPr>
        <w:t>Phase 8: Docker部署与文档</w:t>
      </w:r>
      <w:r>
        <w:rPr>
          <w:rFonts w:hint="eastAsia" w:ascii="微软雅黑" w:hAnsi="微软雅黑" w:eastAsia="微软雅黑"/>
          <w:b/>
          <w:color w:val="1E40AF"/>
          <w:sz w:val="30"/>
          <w:lang w:val="en-US" w:eastAsia="zh-CN"/>
        </w:rPr>
        <w:t>[MVP建议]</w:t>
      </w:r>
    </w:p>
    <w:p w14:paraId="5ED3E56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【Phase 8 指令】</w:t>
      </w:r>
    </w:p>
    <w:p w14:paraId="25740BB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2034A3EC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请生成Docker部署配置和完整项目文档。</w:t>
      </w:r>
    </w:p>
    <w:p w14:paraId="01F7ACA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F61895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按照本文档"第八部分：Docker部署指令"中的要求，生成：</w:t>
      </w:r>
    </w:p>
    <w:p w14:paraId="52D0E33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backend/Dockerfile</w:t>
      </w:r>
    </w:p>
    <w:p w14:paraId="253D89DB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frontend/Dockerfile</w:t>
      </w:r>
    </w:p>
    <w:p w14:paraId="3F9FAAC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docker-compose.yml</w:t>
      </w:r>
    </w:p>
    <w:p w14:paraId="0B468FFD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.env.example</w:t>
      </w:r>
    </w:p>
    <w:p w14:paraId="4B55F7F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nginx.conf</w:t>
      </w:r>
    </w:p>
    <w:p w14:paraId="103CEFE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6. backend/start.sh</w:t>
      </w:r>
    </w:p>
    <w:p w14:paraId="6CEFDA71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4B185BD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生成项目文档：</w:t>
      </w:r>
    </w:p>
    <w:p w14:paraId="7919526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README.md - 项目总览、快速启动、架构说明</w:t>
      </w:r>
    </w:p>
    <w:p w14:paraId="35C4186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docs/architecture.md - 架构设计文档</w:t>
      </w:r>
    </w:p>
    <w:p w14:paraId="2ABE734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docs/api.md - API接口文档</w:t>
      </w:r>
    </w:p>
    <w:p w14:paraId="765C3FC0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docs/deployment.md - 部署指南</w:t>
      </w:r>
    </w:p>
    <w:p w14:paraId="5AF47B43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5. docs/ai_collaboration_log.md - AI协作日志（比赛提交用）</w:t>
      </w:r>
    </w:p>
    <w:p w14:paraId="0A692D06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 xml:space="preserve"> </w:t>
      </w:r>
    </w:p>
    <w:p w14:paraId="189F19E7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验证Docker部署：</w:t>
      </w:r>
    </w:p>
    <w:p w14:paraId="1B9555D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1. docker-compose build</w:t>
      </w:r>
    </w:p>
    <w:p w14:paraId="0EEA50DF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2. docker-compose up -d</w:t>
      </w:r>
    </w:p>
    <w:p w14:paraId="05829F2A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3. 访问 http://localhost:3000 验证前端</w:t>
      </w:r>
    </w:p>
    <w:p w14:paraId="336C2972">
      <w:pPr>
        <w:shd w:val="clear" w:fill="F1F5F9"/>
        <w:spacing w:before="0" w:after="0" w:line="280" w:lineRule="exact"/>
      </w:pPr>
      <w:r>
        <w:rPr>
          <w:rFonts w:ascii="Consolas" w:hAnsi="Consolas" w:eastAsia="Consolas"/>
          <w:color w:val="1E293B"/>
          <w:sz w:val="18"/>
        </w:rPr>
        <w:t>4. 访问 http://localhost:8000/docs 验证API文档</w:t>
      </w:r>
    </w:p>
    <w:p w14:paraId="643EBB07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ascii="Consolas" w:hAnsi="Consolas" w:eastAsia="Consolas"/>
          <w:color w:val="1E293B"/>
          <w:sz w:val="18"/>
        </w:rPr>
        <w:t>5. 验证模拟数据已自动加载</w:t>
      </w:r>
    </w:p>
    <w:p w14:paraId="47801031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</w:p>
    <w:p w14:paraId="29BA5F17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时间不足时的降级方案：</w:t>
      </w:r>
    </w:p>
    <w:p w14:paraId="57F78938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如果Phase 8时间紧张，可跳过Docker部署，改为在README.md中提供手动启动说明：</w:t>
      </w:r>
    </w:p>
    <w:p w14:paraId="5DA2E3A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1. 后端：pip install -r requirements.txt &amp;&amp; uvicorn app.main:app --reload</w:t>
      </w:r>
    </w:p>
    <w:p w14:paraId="32A73BB2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2. 前端：npm install &amp;&amp; npm run dev</w:t>
      </w:r>
    </w:p>
    <w:p w14:paraId="785ED3DB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3. 数据库：使用本地PostgreSQL或SQLite替代</w:t>
      </w:r>
    </w:p>
    <w:p w14:paraId="4CF53324">
      <w:pPr>
        <w:shd w:val="clear" w:fill="F1F5F9"/>
        <w:spacing w:before="0" w:after="0" w:line="280" w:lineRule="exact"/>
        <w:rPr>
          <w:rFonts w:hint="eastAsia" w:ascii="Consolas" w:hAnsi="Consolas" w:eastAsia="Consolas"/>
          <w:color w:val="1E293B"/>
          <w:sz w:val="18"/>
        </w:rPr>
      </w:pPr>
    </w:p>
    <w:p w14:paraId="0D775C24">
      <w:pPr>
        <w:shd w:val="clear" w:fill="F1F5F9"/>
        <w:spacing w:before="0" w:after="0" w:line="280" w:lineRule="exact"/>
        <w:rPr>
          <w:rFonts w:ascii="Consolas" w:hAnsi="Consolas" w:eastAsia="Consolas"/>
          <w:color w:val="1E293B"/>
          <w:sz w:val="18"/>
        </w:rPr>
      </w:pPr>
      <w:r>
        <w:rPr>
          <w:rFonts w:hint="eastAsia" w:ascii="Consolas" w:hAnsi="Consolas" w:eastAsia="Consolas"/>
          <w:color w:val="1E293B"/>
          <w:sz w:val="18"/>
        </w:rPr>
        <w:t>Docker一键部署作为加分项而非必选项。</w:t>
      </w:r>
    </w:p>
    <w:p w14:paraId="31954009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第十部分：AI协作日志模板</w:t>
      </w:r>
    </w:p>
    <w:p w14:paraId="60F02854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sz w:val="21"/>
        </w:rPr>
        <w:t>以下模板用于记录与Trae（DeepSeek-V4-Pro）的协作过程，供比赛提交使用。请在每个Phase完成后填写对应记录。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4CD53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1A56DB"/>
          </w:tcPr>
          <w:p w14:paraId="3C47529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w="1568" w:type="dxa"/>
            <w:shd w:val="clear" w:color="auto" w:fill="1A56DB"/>
          </w:tcPr>
          <w:p w14:paraId="06E478B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交互环节</w:t>
            </w:r>
          </w:p>
        </w:tc>
        <w:tc>
          <w:tcPr>
            <w:tcW w:w="1568" w:type="dxa"/>
            <w:shd w:val="clear" w:color="auto" w:fill="1A56DB"/>
          </w:tcPr>
          <w:p w14:paraId="3DE7169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提示词（摘要）</w:t>
            </w:r>
          </w:p>
        </w:tc>
        <w:tc>
          <w:tcPr>
            <w:tcW w:w="1568" w:type="dxa"/>
            <w:shd w:val="clear" w:color="auto" w:fill="1A56DB"/>
          </w:tcPr>
          <w:p w14:paraId="263EF57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AI输出核心内容</w:t>
            </w:r>
          </w:p>
        </w:tc>
        <w:tc>
          <w:tcPr>
            <w:tcW w:w="1568" w:type="dxa"/>
            <w:shd w:val="clear" w:color="auto" w:fill="1A56DB"/>
          </w:tcPr>
          <w:p w14:paraId="7442C89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采纳/修改决策</w:t>
            </w:r>
          </w:p>
        </w:tc>
        <w:tc>
          <w:tcPr>
            <w:tcW w:w="1568" w:type="dxa"/>
            <w:shd w:val="clear" w:color="auto" w:fill="1A56DB"/>
          </w:tcPr>
          <w:p w14:paraId="6EF2DC7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人工调整说明</w:t>
            </w:r>
          </w:p>
        </w:tc>
      </w:tr>
      <w:tr w14:paraId="07123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8FAFC"/>
          </w:tcPr>
          <w:p w14:paraId="7DBE23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w="1568" w:type="dxa"/>
            <w:shd w:val="clear" w:color="auto" w:fill="F8FAFC"/>
          </w:tcPr>
          <w:p w14:paraId="4CDD7E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需求分析</w:t>
            </w:r>
          </w:p>
        </w:tc>
        <w:tc>
          <w:tcPr>
            <w:tcW w:w="1568" w:type="dxa"/>
            <w:shd w:val="clear" w:color="auto" w:fill="F8FAFC"/>
          </w:tcPr>
          <w:p w14:paraId="7099CFC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"基于老板六大心理生成功能清单"</w:t>
            </w:r>
          </w:p>
        </w:tc>
        <w:tc>
          <w:tcPr>
            <w:tcW w:w="1568" w:type="dxa"/>
            <w:shd w:val="clear" w:color="auto" w:fill="F8FAFC"/>
          </w:tcPr>
          <w:p w14:paraId="045D45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生成了12项功能建议</w:t>
            </w:r>
          </w:p>
        </w:tc>
        <w:tc>
          <w:tcPr>
            <w:tcW w:w="1568" w:type="dxa"/>
            <w:shd w:val="clear" w:color="auto" w:fill="F8FAFC"/>
          </w:tcPr>
          <w:p w14:paraId="6BCF25C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采纳8项，合并4项</w:t>
            </w:r>
          </w:p>
        </w:tc>
        <w:tc>
          <w:tcPr>
            <w:tcW w:w="1568" w:type="dxa"/>
            <w:shd w:val="clear" w:color="auto" w:fill="F8FAFC"/>
          </w:tcPr>
          <w:p w14:paraId="346C9B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合并了重复功能，新增"心理画像仪"为独立模块</w:t>
            </w:r>
          </w:p>
        </w:tc>
      </w:tr>
      <w:tr w14:paraId="1710A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20E6A1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w="1568" w:type="dxa"/>
          </w:tcPr>
          <w:p w14:paraId="4D20CC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架构设计</w:t>
            </w:r>
          </w:p>
        </w:tc>
        <w:tc>
          <w:tcPr>
            <w:tcW w:w="1568" w:type="dxa"/>
          </w:tcPr>
          <w:p w14:paraId="0B0B602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"设计PostgreSQL表结构，包含企业信息、银行流水、发票、风险评分、心理画像等"</w:t>
            </w:r>
          </w:p>
        </w:tc>
        <w:tc>
          <w:tcPr>
            <w:tcW w:w="1568" w:type="dxa"/>
          </w:tcPr>
          <w:p w14:paraId="6D3B04D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生成了9张表的DDL</w:t>
            </w:r>
          </w:p>
        </w:tc>
        <w:tc>
          <w:tcPr>
            <w:tcW w:w="1568" w:type="dxa"/>
          </w:tcPr>
          <w:p w14:paraId="168EDEB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采纳，调整了字段类型</w:t>
            </w:r>
          </w:p>
        </w:tc>
        <w:tc>
          <w:tcPr>
            <w:tcW w:w="1568" w:type="dxa"/>
          </w:tcPr>
          <w:p w14:paraId="615AEB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将"风险评分"的数值类型从integer改为numeric(5,2)以支持小数精度</w:t>
            </w:r>
          </w:p>
        </w:tc>
      </w:tr>
      <w:tr w14:paraId="5F503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8FAFC"/>
          </w:tcPr>
          <w:p w14:paraId="148EC3E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w="1568" w:type="dxa"/>
            <w:shd w:val="clear" w:color="auto" w:fill="F8FAFC"/>
          </w:tcPr>
          <w:p w14:paraId="7B0B7A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编码-四流匹配</w:t>
            </w:r>
          </w:p>
        </w:tc>
        <w:tc>
          <w:tcPr>
            <w:tcW w:w="1568" w:type="dxa"/>
            <w:shd w:val="clear" w:color="auto" w:fill="F8FAFC"/>
          </w:tcPr>
          <w:p w14:paraId="2999F5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"实现四流匹配度计算函数，输入为四组金额对，输出匹配度和风险等级"</w:t>
            </w:r>
          </w:p>
        </w:tc>
        <w:tc>
          <w:tcPr>
            <w:tcW w:w="1568" w:type="dxa"/>
            <w:shd w:val="clear" w:color="auto" w:fill="F8FAFC"/>
          </w:tcPr>
          <w:p w14:paraId="373935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生成了核心算法代码</w:t>
            </w:r>
          </w:p>
        </w:tc>
        <w:tc>
          <w:tcPr>
            <w:tcW w:w="1568" w:type="dxa"/>
            <w:shd w:val="clear" w:color="auto" w:fill="F8FAFC"/>
          </w:tcPr>
          <w:p w14:paraId="675B0F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采纳，修改了阈值参数</w:t>
            </w:r>
          </w:p>
        </w:tc>
        <w:tc>
          <w:tcPr>
            <w:tcW w:w="1568" w:type="dxa"/>
            <w:shd w:val="clear" w:color="auto" w:fill="F8FAFC"/>
          </w:tcPr>
          <w:p w14:paraId="2D2B0C5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偏离度阈值从0.8调整为0.3；增加中风险区间（0.15-0.3）</w:t>
            </w:r>
          </w:p>
        </w:tc>
      </w:tr>
      <w:tr w14:paraId="4A165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0C4653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w="1568" w:type="dxa"/>
          </w:tcPr>
          <w:p w14:paraId="3DD648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编码-风险地图</w:t>
            </w:r>
          </w:p>
        </w:tc>
        <w:tc>
          <w:tcPr>
            <w:tcW w:w="1568" w:type="dxa"/>
          </w:tcPr>
          <w:p w14:paraId="067DA5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"生成风险地图可视化组件，用红黄绿三色标注风险等级"</w:t>
            </w:r>
          </w:p>
        </w:tc>
        <w:tc>
          <w:tcPr>
            <w:tcW w:w="1568" w:type="dxa"/>
          </w:tcPr>
          <w:p w14:paraId="722C780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生成了React组件代码</w:t>
            </w:r>
          </w:p>
        </w:tc>
        <w:tc>
          <w:tcPr>
            <w:tcW w:w="1568" w:type="dxa"/>
          </w:tcPr>
          <w:p w14:paraId="2A1B020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采纳，调整了配色方案</w:t>
            </w:r>
          </w:p>
        </w:tc>
        <w:tc>
          <w:tcPr>
            <w:tcW w:w="1568" w:type="dxa"/>
          </w:tcPr>
          <w:p w14:paraId="349A05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红色#DC2626改为更柔和的#EF4444以降低视觉焦虑；增加tooltip交互</w:t>
            </w:r>
          </w:p>
        </w:tc>
      </w:tr>
      <w:tr w14:paraId="2B621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8FAFC"/>
          </w:tcPr>
          <w:p w14:paraId="39D0B4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w="1568" w:type="dxa"/>
            <w:shd w:val="clear" w:color="auto" w:fill="F8FAFC"/>
          </w:tcPr>
          <w:p w14:paraId="2DC8F4C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编码-心理画像</w:t>
            </w:r>
          </w:p>
        </w:tc>
        <w:tc>
          <w:tcPr>
            <w:tcW w:w="1568" w:type="dxa"/>
            <w:shd w:val="clear" w:color="auto" w:fill="F8FAFC"/>
          </w:tcPr>
          <w:p w14:paraId="3485A8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"实现六大偏差评分规则引擎，输入为8个行为变量，输出偏差类型和指数"</w:t>
            </w:r>
          </w:p>
        </w:tc>
        <w:tc>
          <w:tcPr>
            <w:tcW w:w="1568" w:type="dxa"/>
            <w:shd w:val="clear" w:color="auto" w:fill="F8FAFC"/>
          </w:tcPr>
          <w:p w14:paraId="6FD982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生成了评分函数代码</w:t>
            </w:r>
          </w:p>
        </w:tc>
        <w:tc>
          <w:tcPr>
            <w:tcW w:w="1568" w:type="dxa"/>
            <w:shd w:val="clear" w:color="auto" w:fill="F8FAFC"/>
          </w:tcPr>
          <w:p w14:paraId="036DEA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采纳，补充了3个变量</w:t>
            </w:r>
          </w:p>
        </w:tc>
        <w:tc>
          <w:tcPr>
            <w:tcW w:w="1568" w:type="dxa"/>
            <w:shd w:val="clear" w:color="auto" w:fill="F8FAFC"/>
          </w:tcPr>
          <w:p w14:paraId="0E190C5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AI原始版本仅覆盖控制错觉、乐观偏差、短期主义三个维度；人工补充了掌控欲、损失厌恶、防御心理三个变量及对应评分逻辑</w:t>
            </w:r>
          </w:p>
        </w:tc>
      </w:tr>
      <w:tr w14:paraId="496F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105EAA7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w="1568" w:type="dxa"/>
          </w:tcPr>
          <w:p w14:paraId="06F7B82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API设计</w:t>
            </w:r>
          </w:p>
        </w:tc>
        <w:tc>
          <w:tcPr>
            <w:tcW w:w="1568" w:type="dxa"/>
          </w:tcPr>
          <w:p w14:paraId="38DB3A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"设计RESTful API接口文档，包括风险扫描、心理画像、报告生成三个核心接口"</w:t>
            </w:r>
          </w:p>
        </w:tc>
        <w:tc>
          <w:tcPr>
            <w:tcW w:w="1568" w:type="dxa"/>
          </w:tcPr>
          <w:p w14:paraId="18ABD70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生成了API设计文档</w:t>
            </w:r>
          </w:p>
        </w:tc>
        <w:tc>
          <w:tcPr>
            <w:tcW w:w="1568" w:type="dxa"/>
          </w:tcPr>
          <w:p w14:paraId="2A7B24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采纳，调整了返回值结构</w:t>
            </w:r>
          </w:p>
        </w:tc>
        <w:tc>
          <w:tcPr>
            <w:tcW w:w="1568" w:type="dxa"/>
          </w:tcPr>
          <w:p w14:paraId="047E713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增加统一错误码定义（40001=数据缺失、40002=参数异常）；增加分页参数</w:t>
            </w:r>
          </w:p>
        </w:tc>
      </w:tr>
      <w:tr w14:paraId="027B9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8FAFC"/>
          </w:tcPr>
          <w:p w14:paraId="56A6FEE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w="1568" w:type="dxa"/>
            <w:shd w:val="clear" w:color="auto" w:fill="F8FAFC"/>
          </w:tcPr>
          <w:p w14:paraId="2E05602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测试-规则引擎</w:t>
            </w:r>
          </w:p>
        </w:tc>
        <w:tc>
          <w:tcPr>
            <w:tcW w:w="1568" w:type="dxa"/>
            <w:shd w:val="clear" w:color="auto" w:fill="F8FAFC"/>
          </w:tcPr>
          <w:p w14:paraId="5BD39C4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"为风险评分函数生成边界测试用例，覆盖正常、临界、异常三种情况"</w:t>
            </w:r>
          </w:p>
        </w:tc>
        <w:tc>
          <w:tcPr>
            <w:tcW w:w="1568" w:type="dxa"/>
            <w:shd w:val="clear" w:color="auto" w:fill="F8FAFC"/>
          </w:tcPr>
          <w:p w14:paraId="1200A44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生成了15个测试用例</w:t>
            </w:r>
          </w:p>
        </w:tc>
        <w:tc>
          <w:tcPr>
            <w:tcW w:w="1568" w:type="dxa"/>
            <w:shd w:val="clear" w:color="auto" w:fill="F8FAFC"/>
          </w:tcPr>
          <w:p w14:paraId="19786E9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全部采纳</w:t>
            </w:r>
          </w:p>
        </w:tc>
        <w:tc>
          <w:tcPr>
            <w:tcW w:w="1568" w:type="dxa"/>
            <w:shd w:val="clear" w:color="auto" w:fill="F8FAFC"/>
          </w:tcPr>
          <w:p w14:paraId="16AFD34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 w14:paraId="0C8D9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52A5E88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w="1568" w:type="dxa"/>
          </w:tcPr>
          <w:p w14:paraId="393763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测试-心理画像</w:t>
            </w:r>
          </w:p>
        </w:tc>
        <w:tc>
          <w:tcPr>
            <w:tcW w:w="1568" w:type="dxa"/>
          </w:tcPr>
          <w:p w14:paraId="770FC8A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"为心理画像评分函数生成等价类测试用例，覆盖六大偏差的组合情况"</w:t>
            </w:r>
          </w:p>
        </w:tc>
        <w:tc>
          <w:tcPr>
            <w:tcW w:w="1568" w:type="dxa"/>
          </w:tcPr>
          <w:p w14:paraId="7A8A821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生成了12个测试用例</w:t>
            </w:r>
          </w:p>
        </w:tc>
        <w:tc>
          <w:tcPr>
            <w:tcW w:w="1568" w:type="dxa"/>
          </w:tcPr>
          <w:p w14:paraId="66F686F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采纳10个，修改2个</w:t>
            </w:r>
          </w:p>
        </w:tc>
        <w:tc>
          <w:tcPr>
            <w:tcW w:w="1568" w:type="dxa"/>
          </w:tcPr>
          <w:p w14:paraId="188C493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补充边界值场景：当税负率恰好等于行业均值时的处理逻辑</w:t>
            </w:r>
          </w:p>
        </w:tc>
      </w:tr>
      <w:tr w14:paraId="0F1E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8FAFC"/>
          </w:tcPr>
          <w:p w14:paraId="3736991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w="1568" w:type="dxa"/>
            <w:shd w:val="clear" w:color="auto" w:fill="F8FAFC"/>
          </w:tcPr>
          <w:p w14:paraId="09D812A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编码-模拟器</w:t>
            </w:r>
          </w:p>
        </w:tc>
        <w:tc>
          <w:tcPr>
            <w:tcW w:w="1568" w:type="dxa"/>
            <w:shd w:val="clear" w:color="auto" w:fill="F8FAFC"/>
          </w:tcPr>
          <w:p w14:paraId="444D311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"为沉浸式风险模拟器生成罚款金额计算逻辑"</w:t>
            </w:r>
          </w:p>
        </w:tc>
        <w:tc>
          <w:tcPr>
            <w:tcW w:w="1568" w:type="dxa"/>
            <w:shd w:val="clear" w:color="auto" w:fill="F8FAFC"/>
          </w:tcPr>
          <w:p w14:paraId="4130DFD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生成了基于固定比例（税额×0.5）的计算公式</w:t>
            </w:r>
          </w:p>
        </w:tc>
        <w:tc>
          <w:tcPr>
            <w:tcW w:w="1568" w:type="dxa"/>
            <w:shd w:val="clear" w:color="auto" w:fill="F8FAFC"/>
          </w:tcPr>
          <w:p w14:paraId="4821C9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采纳，修改计算方式</w:t>
            </w:r>
          </w:p>
        </w:tc>
        <w:tc>
          <w:tcPr>
            <w:tcW w:w="1568" w:type="dxa"/>
            <w:shd w:val="clear" w:color="auto" w:fill="F8FAFC"/>
          </w:tcPr>
          <w:p w14:paraId="04E3C4C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AI采用固定比例0.5倍，但依据《税收征管法》第六十三条，偷税罚款为50%-500%系区间。修正为按风险等级分段加权：低风险50%、中风险150%、高风险350%</w:t>
            </w:r>
          </w:p>
        </w:tc>
      </w:tr>
      <w:tr w14:paraId="62EF4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6D79C36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w="1568" w:type="dxa"/>
          </w:tcPr>
          <w:p w14:paraId="30E063E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文档</w:t>
            </w:r>
          </w:p>
        </w:tc>
        <w:tc>
          <w:tcPr>
            <w:tcW w:w="1568" w:type="dxa"/>
          </w:tcPr>
          <w:p w14:paraId="54BC7AD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"生成技术风险与应对方案章节"</w:t>
            </w:r>
          </w:p>
        </w:tc>
        <w:tc>
          <w:tcPr>
            <w:tcW w:w="1568" w:type="dxa"/>
          </w:tcPr>
          <w:p w14:paraId="13E1636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生成了3个风险点</w:t>
            </w:r>
          </w:p>
        </w:tc>
        <w:tc>
          <w:tcPr>
            <w:tcW w:w="1568" w:type="dxa"/>
          </w:tcPr>
          <w:p w14:paraId="493966A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采纳，补充了2个</w:t>
            </w:r>
          </w:p>
        </w:tc>
        <w:tc>
          <w:tcPr>
            <w:tcW w:w="1568" w:type="dxa"/>
          </w:tcPr>
          <w:p w14:paraId="199F58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新增"心理画像准确性局限"和"模拟数据与真实数据差距"两个风险点</w:t>
            </w:r>
          </w:p>
        </w:tc>
      </w:tr>
      <w:tr w14:paraId="1C59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shd w:val="clear" w:color="auto" w:fill="F8FAFC"/>
          </w:tcPr>
          <w:p w14:paraId="64D325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11</w:t>
            </w:r>
          </w:p>
        </w:tc>
        <w:tc>
          <w:tcPr>
            <w:tcW w:w="1568" w:type="dxa"/>
            <w:shd w:val="clear" w:color="auto" w:fill="F8FAFC"/>
          </w:tcPr>
          <w:p w14:paraId="638673B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Phase 1</w:t>
            </w:r>
          </w:p>
        </w:tc>
        <w:tc>
          <w:tcPr>
            <w:tcW w:w="1568" w:type="dxa"/>
            <w:shd w:val="clear" w:color="auto" w:fill="F8FAFC"/>
          </w:tcPr>
          <w:p w14:paraId="1DFDE4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项目骨架搭建指令</w:t>
            </w:r>
          </w:p>
        </w:tc>
        <w:tc>
          <w:tcPr>
            <w:tcW w:w="1568" w:type="dxa"/>
            <w:shd w:val="clear" w:color="auto" w:fill="F8FAFC"/>
          </w:tcPr>
          <w:p w14:paraId="01EE287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生成了完整目录结构和配置文件</w:t>
            </w:r>
          </w:p>
        </w:tc>
        <w:tc>
          <w:tcPr>
            <w:tcW w:w="1568" w:type="dxa"/>
            <w:shd w:val="clear" w:color="auto" w:fill="F8FAFC"/>
          </w:tcPr>
          <w:p w14:paraId="7537E09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</w:t>
            </w:r>
          </w:p>
        </w:tc>
        <w:tc>
          <w:tcPr>
            <w:tcW w:w="1568" w:type="dxa"/>
            <w:shd w:val="clear" w:color="auto" w:fill="F8FAFC"/>
          </w:tcPr>
          <w:p w14:paraId="301F321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微调了docker-compose的健康检查配置</w:t>
            </w:r>
          </w:p>
        </w:tc>
      </w:tr>
      <w:tr w14:paraId="21664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1C6D9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  <w:tc>
          <w:tcPr>
            <w:tcW w:w="1568" w:type="dxa"/>
          </w:tcPr>
          <w:p w14:paraId="579D381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Phase 3</w:t>
            </w:r>
          </w:p>
        </w:tc>
        <w:tc>
          <w:tcPr>
            <w:tcW w:w="1568" w:type="dxa"/>
          </w:tcPr>
          <w:p w14:paraId="2B73590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核心算法实现指令</w:t>
            </w:r>
          </w:p>
        </w:tc>
        <w:tc>
          <w:tcPr>
            <w:tcW w:w="1568" w:type="dxa"/>
          </w:tcPr>
          <w:p w14:paraId="18D520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生成了7个核心模块代码</w:t>
            </w:r>
          </w:p>
        </w:tc>
        <w:tc>
          <w:tcPr>
            <w:tcW w:w="1568" w:type="dxa"/>
          </w:tcPr>
          <w:p w14:paraId="368A5B8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采纳，修正了2处</w:t>
            </w:r>
          </w:p>
        </w:tc>
        <w:tc>
          <w:tcPr>
            <w:tcW w:w="1568" w:type="dxa"/>
          </w:tcPr>
          <w:p w14:paraId="2F98654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修正了四流匹配权重计算中的除零问题；修正了偏差指数标准化公式</w:t>
            </w:r>
          </w:p>
        </w:tc>
      </w:tr>
      <w:tr w14:paraId="70DA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</w:tcPr>
          <w:p w14:paraId="39B99BF3">
            <w:pPr>
              <w:spacing w:after="0" w:line="240" w:lineRule="auto"/>
              <w:rPr>
                <w:rFonts w:hint="default" w:ascii="微软雅黑" w:hAnsi="微软雅黑" w:eastAsia="微软雅黑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13</w:t>
            </w:r>
          </w:p>
        </w:tc>
        <w:tc>
          <w:tcPr>
            <w:tcW w:w="1568" w:type="dxa"/>
          </w:tcPr>
          <w:p w14:paraId="7949D50E">
            <w:pPr>
              <w:spacing w:after="0" w:line="240" w:lineRule="auto"/>
              <w:rPr>
                <w:rFonts w:ascii="微软雅黑" w:hAnsi="微软雅黑" w:eastAsia="微软雅黑"/>
                <w:sz w:val="19"/>
              </w:rPr>
            </w:pPr>
            <w:r>
              <w:rPr>
                <w:rFonts w:hint="eastAsia" w:ascii="微软雅黑" w:hAnsi="微软雅黑" w:eastAsia="微软雅黑"/>
                <w:sz w:val="19"/>
              </w:rPr>
              <w:t>联调验证</w:t>
            </w:r>
          </w:p>
        </w:tc>
        <w:tc>
          <w:tcPr>
            <w:tcW w:w="1568" w:type="dxa"/>
          </w:tcPr>
          <w:p w14:paraId="600E49F4">
            <w:pPr>
              <w:spacing w:after="0" w:line="240" w:lineRule="auto"/>
              <w:rPr>
                <w:rFonts w:ascii="微软雅黑" w:hAnsi="微软雅黑" w:eastAsia="微软雅黑"/>
                <w:sz w:val="19"/>
              </w:rPr>
            </w:pPr>
            <w:r>
              <w:rPr>
                <w:rFonts w:hint="eastAsia" w:ascii="微软雅黑" w:hAnsi="微软雅黑" w:eastAsia="微软雅黑"/>
                <w:sz w:val="19"/>
              </w:rPr>
              <w:t>使用三类模拟企业数据端到端验证风险扫描→心理画像→模拟器全流程</w:t>
            </w:r>
          </w:p>
        </w:tc>
        <w:tc>
          <w:tcPr>
            <w:tcW w:w="1568" w:type="dxa"/>
          </w:tcPr>
          <w:p w14:paraId="476351AE">
            <w:pPr>
              <w:spacing w:after="0" w:line="240" w:lineRule="auto"/>
              <w:rPr>
                <w:rFonts w:ascii="微软雅黑" w:hAnsi="微软雅黑" w:eastAsia="微软雅黑"/>
                <w:sz w:val="19"/>
              </w:rPr>
            </w:pPr>
            <w:r>
              <w:rPr>
                <w:rFonts w:hint="eastAsia" w:ascii="微软雅黑" w:hAnsi="微软雅黑" w:eastAsia="微软雅黑"/>
                <w:sz w:val="19"/>
              </w:rPr>
              <w:t xml:space="preserve">系统返回了企业C的风险扫描结果，总体风险等级为medium </w:t>
            </w:r>
          </w:p>
        </w:tc>
        <w:tc>
          <w:tcPr>
            <w:tcW w:w="1568" w:type="dxa"/>
          </w:tcPr>
          <w:p w14:paraId="23CAB88A">
            <w:pPr>
              <w:spacing w:after="0" w:line="240" w:lineRule="auto"/>
              <w:rPr>
                <w:rFonts w:ascii="微软雅黑" w:hAnsi="微软雅黑" w:eastAsia="微软雅黑"/>
                <w:sz w:val="19"/>
              </w:rPr>
            </w:pPr>
            <w:r>
              <w:rPr>
                <w:rFonts w:hint="eastAsia" w:ascii="微软雅黑" w:hAnsi="微软雅黑" w:eastAsia="微软雅黑"/>
                <w:sz w:val="19"/>
              </w:rPr>
              <w:t>人工修正为high</w:t>
            </w:r>
          </w:p>
        </w:tc>
        <w:tc>
          <w:tcPr>
            <w:tcW w:w="1568" w:type="dxa"/>
          </w:tcPr>
          <w:p w14:paraId="3AA45EF4">
            <w:pPr>
              <w:spacing w:after="0" w:line="240" w:lineRule="auto"/>
              <w:rPr>
                <w:rFonts w:ascii="微软雅黑" w:hAnsi="微软雅黑" w:eastAsia="微软雅黑"/>
                <w:sz w:val="19"/>
              </w:rPr>
            </w:pPr>
            <w:r>
              <w:rPr>
                <w:rFonts w:hint="eastAsia" w:ascii="微软雅黑" w:hAnsi="微软雅黑" w:eastAsia="微软雅黑"/>
                <w:sz w:val="19"/>
              </w:rPr>
              <w:t xml:space="preserve"> 企业C的私卡收款占比55%应触发高风险，但因"一票否决"规则仅升级为medium；发现企业C的成本费用率偏离度在模拟数据中未正确设置为&gt;30%，修正模拟数据后重新验证通过</w:t>
            </w:r>
            <w:bookmarkStart w:id="0" w:name="_GoBack"/>
            <w:bookmarkEnd w:id="0"/>
          </w:p>
        </w:tc>
      </w:tr>
    </w:tbl>
    <w:p w14:paraId="11B2F8AF">
      <w:pPr>
        <w:pStyle w:val="3"/>
        <w:spacing w:before="400" w:after="200"/>
      </w:pPr>
      <w:r>
        <w:rPr>
          <w:rFonts w:ascii="微软雅黑" w:hAnsi="微软雅黑" w:eastAsia="微软雅黑"/>
          <w:b/>
          <w:color w:val="1A56DB"/>
          <w:sz w:val="36"/>
        </w:rPr>
        <w:t>附录：关键参数速查表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A27F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1A56DB"/>
          </w:tcPr>
          <w:p w14:paraId="2878724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w="3135" w:type="dxa"/>
            <w:shd w:val="clear" w:color="auto" w:fill="1A56DB"/>
          </w:tcPr>
          <w:p w14:paraId="0BA7091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  <w:tc>
          <w:tcPr>
            <w:tcW w:w="3135" w:type="dxa"/>
            <w:shd w:val="clear" w:color="auto" w:fill="1A56DB"/>
          </w:tcPr>
          <w:p w14:paraId="35476F1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 w14:paraId="6B2F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1CB4892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四流匹配权重</w:t>
            </w:r>
          </w:p>
        </w:tc>
        <w:tc>
          <w:tcPr>
            <w:tcW w:w="3135" w:type="dxa"/>
            <w:shd w:val="clear" w:color="auto" w:fill="F8FAFC"/>
          </w:tcPr>
          <w:p w14:paraId="3AF39B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资金0.3/发票0.3/货物0.2/合同0.2</w:t>
            </w:r>
          </w:p>
        </w:tc>
        <w:tc>
          <w:tcPr>
            <w:tcW w:w="3135" w:type="dxa"/>
            <w:shd w:val="clear" w:color="auto" w:fill="F8FAFC"/>
          </w:tcPr>
          <w:p w14:paraId="217DF69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四流匹配度计算权重</w:t>
            </w:r>
          </w:p>
        </w:tc>
      </w:tr>
      <w:tr w14:paraId="1B67A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873B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偏离度高风险阈值</w:t>
            </w:r>
          </w:p>
        </w:tc>
        <w:tc>
          <w:tcPr>
            <w:tcW w:w="3135" w:type="dxa"/>
          </w:tcPr>
          <w:p w14:paraId="6BFCDBF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&gt; 0.3</w:t>
            </w:r>
          </w:p>
        </w:tc>
        <w:tc>
          <w:tcPr>
            <w:tcW w:w="3135" w:type="dxa"/>
          </w:tcPr>
          <w:p w14:paraId="0040212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四流匹配偏离度高风险线</w:t>
            </w:r>
          </w:p>
        </w:tc>
      </w:tr>
      <w:tr w14:paraId="21369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41FA869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偏离度中风险阈值</w:t>
            </w:r>
          </w:p>
        </w:tc>
        <w:tc>
          <w:tcPr>
            <w:tcW w:w="3135" w:type="dxa"/>
            <w:shd w:val="clear" w:color="auto" w:fill="F8FAFC"/>
          </w:tcPr>
          <w:p w14:paraId="72CDC1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0.15 - 0.3</w:t>
            </w:r>
          </w:p>
        </w:tc>
        <w:tc>
          <w:tcPr>
            <w:tcW w:w="3135" w:type="dxa"/>
            <w:shd w:val="clear" w:color="auto" w:fill="F8FAFC"/>
          </w:tcPr>
          <w:p w14:paraId="5B2FBB9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四流匹配偏离度中风险区间</w:t>
            </w:r>
          </w:p>
        </w:tc>
      </w:tr>
      <w:tr w14:paraId="1F22C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98606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私卡收款高风险阈值</w:t>
            </w:r>
          </w:p>
        </w:tc>
        <w:tc>
          <w:tcPr>
            <w:tcW w:w="3135" w:type="dxa"/>
          </w:tcPr>
          <w:p w14:paraId="080A7E5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&gt; 30%</w:t>
            </w:r>
          </w:p>
        </w:tc>
        <w:tc>
          <w:tcPr>
            <w:tcW w:w="3135" w:type="dxa"/>
          </w:tcPr>
          <w:p w14:paraId="18DEDED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私卡收款占比高风险线</w:t>
            </w:r>
          </w:p>
        </w:tc>
      </w:tr>
      <w:tr w14:paraId="7BC6D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0BD071F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私卡收款中风险阈值</w:t>
            </w:r>
          </w:p>
        </w:tc>
        <w:tc>
          <w:tcPr>
            <w:tcW w:w="3135" w:type="dxa"/>
            <w:shd w:val="clear" w:color="auto" w:fill="F8FAFC"/>
          </w:tcPr>
          <w:p w14:paraId="6047F29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10% - 30%</w:t>
            </w:r>
          </w:p>
        </w:tc>
        <w:tc>
          <w:tcPr>
            <w:tcW w:w="3135" w:type="dxa"/>
            <w:shd w:val="clear" w:color="auto" w:fill="F8FAFC"/>
          </w:tcPr>
          <w:p w14:paraId="4AD5FF7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私卡收款占比中风险区间</w:t>
            </w:r>
          </w:p>
        </w:tc>
      </w:tr>
      <w:tr w14:paraId="418B3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983AE8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大额公转私阈值</w:t>
            </w:r>
          </w:p>
        </w:tc>
        <w:tc>
          <w:tcPr>
            <w:tcW w:w="3135" w:type="dxa"/>
          </w:tcPr>
          <w:p w14:paraId="0E44FDD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&gt; 50000元/笔</w:t>
            </w:r>
          </w:p>
        </w:tc>
        <w:tc>
          <w:tcPr>
            <w:tcW w:w="3135" w:type="dxa"/>
          </w:tcPr>
          <w:p w14:paraId="3CD05FD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大额公转私判定标准</w:t>
            </w:r>
          </w:p>
        </w:tc>
      </w:tr>
      <w:tr w14:paraId="34E3D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7F52CA5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成本费用率偏离高风险</w:t>
            </w:r>
          </w:p>
        </w:tc>
        <w:tc>
          <w:tcPr>
            <w:tcW w:w="3135" w:type="dxa"/>
            <w:shd w:val="clear" w:color="auto" w:fill="F8FAFC"/>
          </w:tcPr>
          <w:p w14:paraId="24ED096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&gt; 30%</w:t>
            </w:r>
          </w:p>
        </w:tc>
        <w:tc>
          <w:tcPr>
            <w:tcW w:w="3135" w:type="dxa"/>
            <w:shd w:val="clear" w:color="auto" w:fill="F8FAFC"/>
          </w:tcPr>
          <w:p w14:paraId="2FFE576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成本费用率偏离度高风险线</w:t>
            </w:r>
          </w:p>
        </w:tc>
      </w:tr>
      <w:tr w14:paraId="4A66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20511A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进销项品名高风险</w:t>
            </w:r>
          </w:p>
        </w:tc>
        <w:tc>
          <w:tcPr>
            <w:tcW w:w="3135" w:type="dxa"/>
          </w:tcPr>
          <w:p w14:paraId="10E51AB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匹配率 &lt; 0.3</w:t>
            </w:r>
          </w:p>
        </w:tc>
        <w:tc>
          <w:tcPr>
            <w:tcW w:w="3135" w:type="dxa"/>
          </w:tcPr>
          <w:p w14:paraId="6DB275A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进销项品名不匹配高风险线</w:t>
            </w:r>
          </w:p>
        </w:tc>
      </w:tr>
      <w:tr w14:paraId="66F82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141514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税负率异常高风险</w:t>
            </w:r>
          </w:p>
        </w:tc>
        <w:tc>
          <w:tcPr>
            <w:tcW w:w="3135" w:type="dxa"/>
            <w:shd w:val="clear" w:color="auto" w:fill="F8FAFC"/>
          </w:tcPr>
          <w:p w14:paraId="1214EC8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&lt; 行业均值50%</w:t>
            </w:r>
          </w:p>
        </w:tc>
        <w:tc>
          <w:tcPr>
            <w:tcW w:w="3135" w:type="dxa"/>
            <w:shd w:val="clear" w:color="auto" w:fill="F8FAFC"/>
          </w:tcPr>
          <w:p w14:paraId="41ECD9B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税负率异常高风险线</w:t>
            </w:r>
          </w:p>
        </w:tc>
      </w:tr>
      <w:tr w14:paraId="1088E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05393D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小微企业从业人数</w:t>
            </w:r>
          </w:p>
        </w:tc>
        <w:tc>
          <w:tcPr>
            <w:tcW w:w="3135" w:type="dxa"/>
          </w:tcPr>
          <w:p w14:paraId="65CA5EA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≤ 300人</w:t>
            </w:r>
          </w:p>
        </w:tc>
        <w:tc>
          <w:tcPr>
            <w:tcW w:w="3135" w:type="dxa"/>
          </w:tcPr>
          <w:p w14:paraId="5F71EE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小微优惠条件1</w:t>
            </w:r>
          </w:p>
        </w:tc>
      </w:tr>
      <w:tr w14:paraId="0AC52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5457DE5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小微企业资产总额</w:t>
            </w:r>
          </w:p>
        </w:tc>
        <w:tc>
          <w:tcPr>
            <w:tcW w:w="3135" w:type="dxa"/>
            <w:shd w:val="clear" w:color="auto" w:fill="F8FAFC"/>
          </w:tcPr>
          <w:p w14:paraId="3595BA1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≤ 5000万</w:t>
            </w:r>
          </w:p>
        </w:tc>
        <w:tc>
          <w:tcPr>
            <w:tcW w:w="3135" w:type="dxa"/>
            <w:shd w:val="clear" w:color="auto" w:fill="F8FAFC"/>
          </w:tcPr>
          <w:p w14:paraId="100B285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小微优惠条件2</w:t>
            </w:r>
          </w:p>
        </w:tc>
      </w:tr>
      <w:tr w14:paraId="33354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45955FB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小微企业应纳税所得额</w:t>
            </w:r>
          </w:p>
        </w:tc>
        <w:tc>
          <w:tcPr>
            <w:tcW w:w="3135" w:type="dxa"/>
          </w:tcPr>
          <w:p w14:paraId="20EDA26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≤ 300万</w:t>
            </w:r>
          </w:p>
        </w:tc>
        <w:tc>
          <w:tcPr>
            <w:tcW w:w="3135" w:type="dxa"/>
          </w:tcPr>
          <w:p w14:paraId="4A88D8C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小微优惠条件3</w:t>
            </w:r>
          </w:p>
        </w:tc>
      </w:tr>
      <w:tr w14:paraId="15FD7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528AA90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罚款倍数-低风险</w:t>
            </w:r>
          </w:p>
        </w:tc>
        <w:tc>
          <w:tcPr>
            <w:tcW w:w="3135" w:type="dxa"/>
            <w:shd w:val="clear" w:color="auto" w:fill="F8FAFC"/>
          </w:tcPr>
          <w:p w14:paraId="640B57E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0.5倍</w:t>
            </w:r>
          </w:p>
        </w:tc>
        <w:tc>
          <w:tcPr>
            <w:tcW w:w="3135" w:type="dxa"/>
            <w:shd w:val="clear" w:color="auto" w:fill="F8FAFC"/>
          </w:tcPr>
          <w:p w14:paraId="6EB9317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偷税罚款下限</w:t>
            </w:r>
          </w:p>
        </w:tc>
      </w:tr>
      <w:tr w14:paraId="028E3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79E8ED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罚款倍数-中风险</w:t>
            </w:r>
          </w:p>
        </w:tc>
        <w:tc>
          <w:tcPr>
            <w:tcW w:w="3135" w:type="dxa"/>
          </w:tcPr>
          <w:p w14:paraId="7D077DC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1.5倍</w:t>
            </w:r>
          </w:p>
        </w:tc>
        <w:tc>
          <w:tcPr>
            <w:tcW w:w="3135" w:type="dxa"/>
          </w:tcPr>
          <w:p w14:paraId="193017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偷税罚款中位偏下</w:t>
            </w:r>
          </w:p>
        </w:tc>
      </w:tr>
      <w:tr w14:paraId="4EE5A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75A57C7E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罚款倍数-高风险</w:t>
            </w:r>
          </w:p>
        </w:tc>
        <w:tc>
          <w:tcPr>
            <w:tcW w:w="3135" w:type="dxa"/>
            <w:shd w:val="clear" w:color="auto" w:fill="F8FAFC"/>
          </w:tcPr>
          <w:p w14:paraId="293A743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3.5倍</w:t>
            </w:r>
          </w:p>
        </w:tc>
        <w:tc>
          <w:tcPr>
            <w:tcW w:w="3135" w:type="dxa"/>
            <w:shd w:val="clear" w:color="auto" w:fill="F8FAFC"/>
          </w:tcPr>
          <w:p w14:paraId="17808BF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偷税罚款中位偏上</w:t>
            </w:r>
          </w:p>
        </w:tc>
      </w:tr>
      <w:tr w14:paraId="47C30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C5DC02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滞纳金日利率</w:t>
            </w:r>
          </w:p>
        </w:tc>
        <w:tc>
          <w:tcPr>
            <w:tcW w:w="3135" w:type="dxa"/>
          </w:tcPr>
          <w:p w14:paraId="1BCBAA0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0.05%</w:t>
            </w:r>
          </w:p>
        </w:tc>
        <w:tc>
          <w:tcPr>
            <w:tcW w:w="3135" w:type="dxa"/>
          </w:tcPr>
          <w:p w14:paraId="11957641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滞纳金每日利率</w:t>
            </w:r>
          </w:p>
        </w:tc>
      </w:tr>
      <w:tr w14:paraId="4F08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601FEE50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偏差指数基准线</w:t>
            </w:r>
          </w:p>
        </w:tc>
        <w:tc>
          <w:tcPr>
            <w:tcW w:w="3135" w:type="dxa"/>
            <w:shd w:val="clear" w:color="auto" w:fill="F8FAFC"/>
          </w:tcPr>
          <w:p w14:paraId="7F55C71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52分</w:t>
            </w:r>
          </w:p>
        </w:tc>
        <w:tc>
          <w:tcPr>
            <w:tcW w:w="3135" w:type="dxa"/>
            <w:shd w:val="clear" w:color="auto" w:fill="F8FAFC"/>
          </w:tcPr>
          <w:p w14:paraId="6AE808D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同规模企业平均值</w:t>
            </w:r>
          </w:p>
        </w:tc>
      </w:tr>
      <w:tr w14:paraId="3E95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3721E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偏差指数高风险</w:t>
            </w:r>
          </w:p>
        </w:tc>
        <w:tc>
          <w:tcPr>
            <w:tcW w:w="3135" w:type="dxa"/>
          </w:tcPr>
          <w:p w14:paraId="55A2A8B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&gt; 70</w:t>
            </w:r>
          </w:p>
        </w:tc>
        <w:tc>
          <w:tcPr>
            <w:tcW w:w="3135" w:type="dxa"/>
          </w:tcPr>
          <w:p w14:paraId="06B16E3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高风险决策模式</w:t>
            </w:r>
          </w:p>
        </w:tc>
      </w:tr>
      <w:tr w14:paraId="2A9F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4B9ABC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偏差指数中风险</w:t>
            </w:r>
          </w:p>
        </w:tc>
        <w:tc>
          <w:tcPr>
            <w:tcW w:w="3135" w:type="dxa"/>
            <w:shd w:val="clear" w:color="auto" w:fill="F8FAFC"/>
          </w:tcPr>
          <w:p w14:paraId="7AE6368B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50 - 70</w:t>
            </w:r>
          </w:p>
        </w:tc>
        <w:tc>
          <w:tcPr>
            <w:tcW w:w="3135" w:type="dxa"/>
            <w:shd w:val="clear" w:color="auto" w:fill="F8FAFC"/>
          </w:tcPr>
          <w:p w14:paraId="33D5FF9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中等风险决策模式</w:t>
            </w:r>
          </w:p>
        </w:tc>
      </w:tr>
      <w:tr w14:paraId="44B3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59CC51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稽查概率-高风险6个月</w:t>
            </w:r>
          </w:p>
        </w:tc>
        <w:tc>
          <w:tcPr>
            <w:tcW w:w="3135" w:type="dxa"/>
          </w:tcPr>
          <w:p w14:paraId="69ED463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w="3135" w:type="dxa"/>
          </w:tcPr>
          <w:p w14:paraId="5D88C2F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高风险企业6个月稽查概率</w:t>
            </w:r>
          </w:p>
        </w:tc>
      </w:tr>
      <w:tr w14:paraId="1A925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F8FAFC"/>
          </w:tcPr>
          <w:p w14:paraId="1C48A1A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稽查概率-高风险1年</w:t>
            </w:r>
          </w:p>
        </w:tc>
        <w:tc>
          <w:tcPr>
            <w:tcW w:w="3135" w:type="dxa"/>
            <w:shd w:val="clear" w:color="auto" w:fill="F8FAFC"/>
          </w:tcPr>
          <w:p w14:paraId="6AE50CE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50%</w:t>
            </w:r>
          </w:p>
        </w:tc>
        <w:tc>
          <w:tcPr>
            <w:tcW w:w="3135" w:type="dxa"/>
            <w:shd w:val="clear" w:color="auto" w:fill="F8FAFC"/>
          </w:tcPr>
          <w:p w14:paraId="692F93A7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高风险企业1年稽查概率</w:t>
            </w:r>
          </w:p>
        </w:tc>
      </w:tr>
      <w:tr w14:paraId="47BA7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B25EAA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稽查概率-高风险3年</w:t>
            </w:r>
          </w:p>
        </w:tc>
        <w:tc>
          <w:tcPr>
            <w:tcW w:w="3135" w:type="dxa"/>
          </w:tcPr>
          <w:p w14:paraId="3DED6424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80%</w:t>
            </w:r>
          </w:p>
        </w:tc>
        <w:tc>
          <w:tcPr>
            <w:tcW w:w="3135" w:type="dxa"/>
          </w:tcPr>
          <w:p w14:paraId="49674D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9"/>
              </w:rPr>
              <w:t>高风险企业3年稽查概率</w:t>
            </w:r>
          </w:p>
        </w:tc>
      </w:tr>
    </w:tbl>
    <w:p w14:paraId="15A17181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b/>
          <w:sz w:val="21"/>
        </w:rPr>
        <w:t>文档结束</w:t>
      </w:r>
    </w:p>
    <w:p w14:paraId="74AB76F9">
      <w:pPr>
        <w:spacing w:after="120" w:line="360" w:lineRule="exact"/>
      </w:pPr>
      <w:r>
        <w:rPr>
          <w:rFonts w:ascii="微软雅黑" w:hAnsi="微软雅黑" w:eastAsia="微软雅黑"/>
          <w:sz w:val="21"/>
        </w:rPr>
        <w:t>&gt;</w:t>
      </w:r>
    </w:p>
    <w:p w14:paraId="5393646D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sz w:val="21"/>
        </w:rPr>
        <w:t>本文档共计约 15000 字，涵盖项目从骨架搭建到Docker部署的全流程指令。请按照"第九部分：分阶段实施计划"的顺序，将每个Phase的指令依次发送给Trae（DeepSeek-V4-Pro），每完成一个阶段后进行代码审查和测试，确保质量后再进入下一阶段。</w:t>
      </w:r>
    </w:p>
    <w:p w14:paraId="39251024">
      <w:pPr>
        <w:spacing w:after="120" w:line="360" w:lineRule="exact"/>
      </w:pPr>
      <w:r>
        <w:rPr>
          <w:rFonts w:ascii="微软雅黑" w:hAnsi="微软雅黑" w:eastAsia="微软雅黑"/>
          <w:sz w:val="21"/>
        </w:rPr>
        <w:t>&gt;</w:t>
      </w:r>
    </w:p>
    <w:p w14:paraId="270B5AD9">
      <w:pPr>
        <w:pBdr>
          <w:left w:val="single" w:color="1A56DB" w:sz="24" w:space="8"/>
        </w:pBdr>
        <w:shd w:val="clear" w:fill="EFF6FF"/>
        <w:spacing w:before="80" w:after="80"/>
        <w:ind w:left="567"/>
      </w:pPr>
      <w:r>
        <w:rPr>
          <w:rFonts w:ascii="微软雅黑" w:hAnsi="微软雅黑" w:eastAsia="微软雅黑"/>
          <w:sz w:val="21"/>
        </w:rPr>
        <w:t>预估总开发周期：3周（AI辅助开发，代码占比65-75%）。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7A08E695-B0FD-4C42-9154-289E43BE6215}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2" w:fontKey="{62EC0392-98C9-4C28-88D7-5386CAD3FBB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F3625"/>
    <w:rsid w:val="1C26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1026</Words>
  <Characters>1807</Characters>
  <Lines>0</Lines>
  <Paragraphs>0</Paragraphs>
  <TotalTime>24</TotalTime>
  <ScaleCrop>false</ScaleCrop>
  <LinksUpToDate>false</LinksUpToDate>
  <CharactersWithSpaces>2264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一起努力</cp:lastModifiedBy>
  <dcterms:modified xsi:type="dcterms:W3CDTF">2026-07-10T00:20:58Z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eyJoZGlkIjoiMTk4M2I0ZmU0ZjZiOTIwOGI2MjI0ZjFmZWM1MzhmZTkiLCJ1c2VySWQiOiIyODM5OTMwNzgifQ==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62C86FD49EE64932962879D12270411D_12</vt:lpwstr>
  </property>
</Properties>
</file>