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charts/chart1.xml" ContentType="application/vnd.openxmlformats-officedocument.drawingml.chart+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Charles Tremblay – 1687959</w:t>
        <w:br/>
        <w:t>Guillaume Lavoie-Harvey – 1688951</w:t>
      </w:r>
    </w:p>
    <w:p>
      <w:pPr>
        <w:pStyle w:val="Titre1"/>
        <w:spacing w:before="240" w:after="0"/>
        <w:rPr/>
      </w:pPr>
      <w:r>
        <w:rPr/>
        <w:t>Partie 1</w:t>
      </w:r>
    </w:p>
    <w:p>
      <w:pPr>
        <w:pStyle w:val="Normal"/>
        <w:rPr/>
      </w:pPr>
      <w:r>
        <w:rPr/>
      </w:r>
    </w:p>
    <w:p>
      <w:pPr>
        <w:pStyle w:val="Titre2"/>
        <w:rPr/>
      </w:pPr>
      <w:r>
        <w:rPr/>
        <w:t>Question 1</w:t>
      </w:r>
    </w:p>
    <w:p>
      <w:pPr>
        <w:pStyle w:val="Normal"/>
        <w:rPr/>
      </w:pPr>
      <w:r>
        <w:rPr/>
      </w:r>
    </w:p>
    <w:p>
      <w:pPr>
        <w:pStyle w:val="Normal"/>
        <w:rPr/>
      </w:pPr>
      <w:r>
        <w:rPr/>
        <w:t>On peut remarquer dans ce graphique que le temps de réponse est relié au type d’appel qu’on fait. On constate que l’appel normal est toujours plus rapide que l’appel RMI local, qui est toujours plus rapide que l’appel RMI distant. On peut aussi remarquer que, dans chaque cas, le temps nécessaire pour l’appel augmente en fonction du nombre de paramètres passés en argument sauf dans le cas de l’appel normal, où on peut observer que le temps requis est relativement constant.</w:t>
      </w:r>
    </w:p>
    <w:p>
      <w:pPr>
        <w:pStyle w:val="Normal"/>
        <w:rPr/>
      </w:pPr>
      <w:r>
        <w:rPr/>
        <w:t>On peut aussi remarquer une certaine constance aux valeurs de temps de réponse RMI local et distant, jusqu’à un certain point à partir duquel le nombre d’arguments commence à avoir une grande influence sur le temps de réponse. Dans ce cas-ci, la taille d’arguments perturbant cette constance semble être 100 000 octets.</w:t>
      </w:r>
    </w:p>
    <w:p>
      <w:pPr>
        <w:pStyle w:val="Normal"/>
        <w:rPr/>
      </w:pPr>
      <w:r>
        <w:rPr/>
        <w:drawing>
          <wp:inline distT="0" distB="0" distL="0" distR="0">
            <wp:extent cx="7047865" cy="416941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pPr>
      <w:r>
        <w:rPr/>
        <w:t>On remarque que la différence entre les appels locaux et distants est relativement faible, donc Java RMI peut être approprié pour envoyer des méthodes à un serveur distant dans le cas ou on a des arguments de petite taille. Toutefois, si les arguments sont de trop grande taille, le temps de réponse augmente de manière exponentielle et Java RMI devient donc de moins en moins attrayant.</w:t>
      </w:r>
    </w:p>
    <w:p>
      <w:pPr>
        <w:pStyle w:val="Normal"/>
        <w:rPr/>
      </w:pPr>
      <w:r>
        <w:rPr/>
      </w:r>
    </w:p>
    <w:p>
      <w:pPr>
        <w:pStyle w:val="Titre2"/>
        <w:rPr/>
      </w:pPr>
      <w:r>
        <w:rPr/>
        <w:t>Question 2</w:t>
      </w:r>
    </w:p>
    <w:p>
      <w:pPr>
        <w:pStyle w:val="Normal"/>
        <w:rPr/>
      </w:pPr>
      <w:r>
        <w:rPr/>
      </w:r>
    </w:p>
    <w:p>
      <w:pPr>
        <w:pStyle w:val="Normal"/>
        <w:rPr/>
      </w:pPr>
      <w:r>
        <w:rPr/>
        <w:t xml:space="preserve">Tout d’abord, la première chose qu’on fait est de lancer le RMI Registry, qui permet aux serveurs de s’identifier et aux clients de communiquer avec les serveurs présents sur ce dernier. Lorsqu’on lance le serveur, il sera enregistré dans le RMI Registry et sera donc affiché comme étant accessible pour les clients. </w:t>
      </w:r>
    </w:p>
    <w:p>
      <w:pPr>
        <w:pStyle w:val="Normal"/>
        <w:rPr/>
      </w:pPr>
      <w:r>
        <w:rPr/>
        <w:drawing>
          <wp:anchor behindDoc="0" distT="0" distB="0" distL="0" distR="0" simplePos="0" locked="0" layoutInCell="1" allowOverlap="1" relativeHeight="2">
            <wp:simplePos x="0" y="0"/>
            <wp:positionH relativeFrom="column">
              <wp:posOffset>62230</wp:posOffset>
            </wp:positionH>
            <wp:positionV relativeFrom="paragraph">
              <wp:posOffset>-19050</wp:posOffset>
            </wp:positionV>
            <wp:extent cx="3848100" cy="3810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848100" cy="381000"/>
                    </a:xfrm>
                    <a:prstGeom prst="rect">
                      <a:avLst/>
                    </a:prstGeom>
                  </pic:spPr>
                </pic:pic>
              </a:graphicData>
            </a:graphic>
          </wp:anchor>
        </w:drawing>
      </w:r>
    </w:p>
    <w:p>
      <w:pPr>
        <w:pStyle w:val="Normal"/>
        <w:rPr/>
      </w:pPr>
      <w:r>
        <w:rPr/>
      </w:r>
    </w:p>
    <w:p>
      <w:pPr>
        <w:pStyle w:val="Normal"/>
        <w:rPr/>
      </w:pPr>
      <w:r>
        <w:rPr/>
        <w:t>Lorsque le client tente d’exécuter une méthode sur le serveur, il contacte le RMI Registry à l’aide d’un serverStub afin de déterminer si le serveur cible est disponible. Ce dernier est seulement disponible s’il est enregistré dans le registre RMI.</w:t>
      </w:r>
    </w:p>
    <w:p>
      <w:pPr>
        <w:pStyle w:val="Normal"/>
        <w:rPr/>
      </w:pPr>
      <w:r>
        <w:rPr/>
        <w:drawing>
          <wp:anchor behindDoc="0" distT="0" distB="0" distL="0" distR="0" simplePos="0" locked="0" layoutInCell="1" allowOverlap="1" relativeHeight="3">
            <wp:simplePos x="0" y="0"/>
            <wp:positionH relativeFrom="column">
              <wp:posOffset>71755</wp:posOffset>
            </wp:positionH>
            <wp:positionV relativeFrom="paragraph">
              <wp:posOffset>-38100</wp:posOffset>
            </wp:positionV>
            <wp:extent cx="4838700" cy="11715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838700" cy="1171575"/>
                    </a:xfrm>
                    <a:prstGeom prst="rect">
                      <a:avLst/>
                    </a:prstGeom>
                  </pic:spPr>
                </pic:pic>
              </a:graphicData>
            </a:graphic>
          </wp:anchor>
        </w:drawing>
      </w:r>
    </w:p>
    <w:p>
      <w:pPr>
        <w:pStyle w:val="Normal"/>
        <w:rPr/>
      </w:pPr>
      <w:r>
        <w:rPr/>
        <w:t xml:space="preserve"> </w:t>
      </w:r>
    </w:p>
    <w:p>
      <w:pPr>
        <w:pStyle w:val="Normal"/>
        <w:rPr/>
      </w:pPr>
      <w:r>
        <w:rPr/>
      </w:r>
    </w:p>
    <w:p>
      <w:pPr>
        <w:pStyle w:val="Normal"/>
        <w:rPr/>
      </w:pPr>
      <w:r>
        <w:rPr/>
      </w:r>
    </w:p>
    <w:p>
      <w:pPr>
        <w:pStyle w:val="Normal"/>
        <w:spacing w:before="0" w:after="160"/>
        <w:rPr/>
      </w:pPr>
      <w:r>
        <w:rPr/>
        <w:t>Une fois la possibilité de contact avec le serveur cible confirmée, le client envoie la commande sur le serveur. Le serveur exécute ensuite la méthode demandée et renvoie la valeur de retour (si nécessaire) par le même processus.</w:t>
      </w:r>
    </w:p>
    <w:sectPr>
      <w:type w:val="nextPage"/>
      <w:pgSz w:w="12240" w:h="15840"/>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CA" w:eastAsia="en-US" w:bidi="ar-SA"/>
    </w:rPr>
  </w:style>
  <w:style w:type="paragraph" w:styleId="Titre1">
    <w:name w:val="Heading 1"/>
    <w:basedOn w:val="Normal"/>
    <w:next w:val="Normal"/>
    <w:link w:val="Titre1Car"/>
    <w:uiPriority w:val="9"/>
    <w:qFormat/>
    <w:rsid w:val="00961272"/>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961272"/>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961272"/>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sid w:val="00961272"/>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
    <w:name w:val="Titre"/>
    <w:basedOn w:val="Normal"/>
    <w:next w:val="Corpsdetexte"/>
    <w:qFormat/>
    <w:pPr>
      <w:keepNext/>
      <w:spacing w:before="240" w:after="120"/>
    </w:pPr>
    <w:rPr>
      <w:rFonts w:ascii="Liberation Sans" w:hAnsi="Liberation Sans" w:eastAsia="Tahoma" w:cs="DejaVu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DejaVu Sans"/>
    </w:rPr>
  </w:style>
  <w:style w:type="paragraph" w:styleId="Lgende">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Temps de réponse RMI en fonction de la taille de l'argument</a:t>
            </a:r>
          </a:p>
        </c:rich>
      </c:tx>
      <c:overlay val="0"/>
    </c:title>
    <c:autoTitleDeleted val="0"/>
    <c:plotArea>
      <c:scatterChart>
        <c:scatterStyle val="lineMarker"/>
        <c:varyColors val="0"/>
        <c:ser>
          <c:idx val="0"/>
          <c:order val="0"/>
          <c:tx>
            <c:strRef>
              <c:f>label 0</c:f>
              <c:strCache>
                <c:ptCount val="1"/>
                <c:pt idx="0">
                  <c:v>Temps de réponse normal (ns)</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xVal>
            <c:numRef>
              <c:f>1</c:f>
              <c:numCache>
                <c:formatCode>General</c:formatCode>
                <c:ptCount val="7"/>
                <c:pt idx="0">
                  <c:v>10</c:v>
                </c:pt>
                <c:pt idx="1">
                  <c:v>100</c:v>
                </c:pt>
                <c:pt idx="2">
                  <c:v>1000</c:v>
                </c:pt>
                <c:pt idx="3">
                  <c:v>10000</c:v>
                </c:pt>
                <c:pt idx="4">
                  <c:v>100000</c:v>
                </c:pt>
                <c:pt idx="5">
                  <c:v>1000000</c:v>
                </c:pt>
                <c:pt idx="6">
                  <c:v>10000000</c:v>
                </c:pt>
              </c:numCache>
            </c:numRef>
          </c:xVal>
          <c:yVal>
            <c:numRef>
              <c:f>0</c:f>
              <c:numCache>
                <c:formatCode>General</c:formatCode>
                <c:ptCount val="7"/>
                <c:pt idx="0">
                  <c:v>2768</c:v>
                </c:pt>
                <c:pt idx="1">
                  <c:v>456</c:v>
                </c:pt>
                <c:pt idx="2">
                  <c:v>347</c:v>
                </c:pt>
                <c:pt idx="3">
                  <c:v>332</c:v>
                </c:pt>
                <c:pt idx="4">
                  <c:v>363</c:v>
                </c:pt>
                <c:pt idx="5">
                  <c:v>503</c:v>
                </c:pt>
                <c:pt idx="6">
                  <c:v>831</c:v>
                </c:pt>
              </c:numCache>
            </c:numRef>
          </c:yVal>
          <c:smooth val="0"/>
        </c:ser>
        <c:ser>
          <c:idx val="1"/>
          <c:order val="1"/>
          <c:tx>
            <c:strRef>
              <c:f>label 2</c:f>
              <c:strCache>
                <c:ptCount val="1"/>
                <c:pt idx="0">
                  <c:v>Temps de réponse RMI Local (ns)</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xVal>
            <c:numRef>
              <c:f>3</c:f>
              <c:numCache>
                <c:formatCode>General</c:formatCode>
                <c:ptCount val="7"/>
                <c:pt idx="0">
                  <c:v>10</c:v>
                </c:pt>
                <c:pt idx="1">
                  <c:v>100</c:v>
                </c:pt>
                <c:pt idx="2">
                  <c:v>1000</c:v>
                </c:pt>
                <c:pt idx="3">
                  <c:v>10000</c:v>
                </c:pt>
                <c:pt idx="4">
                  <c:v>100000</c:v>
                </c:pt>
                <c:pt idx="5">
                  <c:v>1000000</c:v>
                </c:pt>
                <c:pt idx="6">
                  <c:v>10000000</c:v>
                </c:pt>
              </c:numCache>
            </c:numRef>
          </c:xVal>
          <c:yVal>
            <c:numRef>
              <c:f>2</c:f>
              <c:numCache>
                <c:formatCode>General</c:formatCode>
                <c:ptCount val="7"/>
                <c:pt idx="0">
                  <c:v>1075295</c:v>
                </c:pt>
                <c:pt idx="1">
                  <c:v>381252</c:v>
                </c:pt>
                <c:pt idx="2">
                  <c:v>363489</c:v>
                </c:pt>
                <c:pt idx="3">
                  <c:v>441999</c:v>
                </c:pt>
                <c:pt idx="4">
                  <c:v>444689</c:v>
                </c:pt>
                <c:pt idx="5">
                  <c:v>1698451</c:v>
                </c:pt>
                <c:pt idx="6">
                  <c:v>11630261</c:v>
                </c:pt>
              </c:numCache>
            </c:numRef>
          </c:yVal>
          <c:smooth val="0"/>
        </c:ser>
        <c:ser>
          <c:idx val="2"/>
          <c:order val="2"/>
          <c:tx>
            <c:strRef>
              <c:f>label 4</c:f>
              <c:strCache>
                <c:ptCount val="1"/>
                <c:pt idx="0">
                  <c:v>Temps de réponse RMI Distant (ns)</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xVal>
            <c:numRef>
              <c:f>5</c:f>
              <c:numCache>
                <c:formatCode>General</c:formatCode>
                <c:ptCount val="7"/>
                <c:pt idx="0">
                  <c:v>10</c:v>
                </c:pt>
                <c:pt idx="1">
                  <c:v>100</c:v>
                </c:pt>
                <c:pt idx="2">
                  <c:v>1000</c:v>
                </c:pt>
                <c:pt idx="3">
                  <c:v>10000</c:v>
                </c:pt>
                <c:pt idx="4">
                  <c:v>100000</c:v>
                </c:pt>
                <c:pt idx="5">
                  <c:v>1000000</c:v>
                </c:pt>
                <c:pt idx="6">
                  <c:v>10000000</c:v>
                </c:pt>
              </c:numCache>
            </c:numRef>
          </c:xVal>
          <c:yVal>
            <c:numRef>
              <c:f>4</c:f>
              <c:numCache>
                <c:formatCode>General</c:formatCode>
                <c:ptCount val="7"/>
                <c:pt idx="0">
                  <c:v>1311576</c:v>
                </c:pt>
                <c:pt idx="1">
                  <c:v>1245766</c:v>
                </c:pt>
                <c:pt idx="2">
                  <c:v>1369029</c:v>
                </c:pt>
                <c:pt idx="3">
                  <c:v>1879668</c:v>
                </c:pt>
                <c:pt idx="4">
                  <c:v>9706844</c:v>
                </c:pt>
                <c:pt idx="5">
                  <c:v>86386707</c:v>
                </c:pt>
                <c:pt idx="6">
                  <c:v>870800429</c:v>
                </c:pt>
              </c:numCache>
            </c:numRef>
          </c:yVal>
          <c:smooth val="0"/>
        </c:ser>
        <c:axId val="1769285"/>
        <c:axId val="45986987"/>
      </c:scatterChart>
      <c:valAx>
        <c:axId val="1769285"/>
        <c:scaling>
          <c:logBase val="10"/>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Taille de l'argument (octets)</a:t>
                </a:r>
              </a:p>
            </c:rich>
          </c:tx>
          <c:overlay val="0"/>
        </c:title>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45986987"/>
        <c:crosses val="autoZero"/>
        <c:crossBetween val="midCat"/>
      </c:valAx>
      <c:valAx>
        <c:axId val="45986987"/>
        <c:scaling>
          <c:logBase val="10"/>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Temps de réponse (ns)</a:t>
                </a:r>
              </a:p>
            </c:rich>
          </c:tx>
          <c:overlay val="0"/>
        </c:title>
        <c:numFmt formatCode="General"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1769285"/>
        <c:crosses val="autoZero"/>
        <c:crossBetween val="midCat"/>
      </c:valAx>
      <c:spPr>
        <a:noFill/>
        <a:ln>
          <a:solidFill>
            <a:srgbClr val="b3b3b3"/>
          </a:solidFill>
        </a:ln>
      </c:spPr>
    </c:plotArea>
    <c:legend>
      <c:legendPos val="r"/>
      <c:layout>
        <c:manualLayout>
          <c:xMode val="edge"/>
          <c:yMode val="edge"/>
          <c:x val="0.6361875"/>
          <c:y val="0.314333333333333"/>
        </c:manualLayout>
      </c:layout>
      <c:overlay val="0"/>
      <c:spPr>
        <a:noFill/>
        <a:ln>
          <a:noFill/>
        </a:ln>
      </c:spPr>
    </c:legend>
    <c:plotVisOnly val="1"/>
    <c:dispBlanksAs val="span"/>
  </c:chart>
  <c:spPr>
    <a:solidFill>
      <a:srgbClr val="ffffff"/>
    </a:solidFill>
    <a:ln>
      <a:noFill/>
    </a:ln>
  </c:spPr>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LibreOffice/5.1.5.2$Linux_X86_64 LibreOffice_project/10$Build-2</Application>
  <Pages>2</Pages>
  <Words>341</Words>
  <Characters>1730</Characters>
  <CharactersWithSpaces>2065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2016-09-19T18:33:00Z</dcterms:created>
  <dc:creator>Guillaume Lavoie-Harvey</dc:creator>
  <dc:description/>
  <dc:language>fr-CA</dc:language>
  <cp:lastModifiedBy/>
  <dcterms:modified xsi:type="dcterms:W3CDTF">2016-10-06T15:48:04Z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