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Executive Summary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Per your request, a local DNS server was provisioned in order to provide the CCDC intranet with a mechanism for resolving local domain names. As a result, each host on the practice LAN has a corresponding domain name at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ccdc-net.local</w:t>
      </w:r>
      <w:r w:rsidDel="00000000" w:rsidR="00000000" w:rsidRPr="00000000">
        <w:rPr>
          <w:rtl w:val="0"/>
        </w:rPr>
        <w:t xml:space="preserve">, which may be resolved via normal or reverse DNS lookups. As requested, the following local DNS records have been configured: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Domain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IP Address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dns1.ccdc-net.local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192.168.14.218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iso-webserver.ccdc-net.local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192.168.14.232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pfsense.ccdc-net.local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192.168.14.1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fakerecord.ccdc-net.local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192.168.14.2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alec-laptop.ccdc-net.local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192.168.14.225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Consolidating DNS configuration into a single machine in this way allows for centralized management and configuration of network services, which includes increased flexibility for failover and recovery. The deployment of a local DNS service additionally provides a clear audit trail for certain types of malicious traffic detection, as well as certain security and performance improvements for existing infrastructure.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  <w:t xml:space="preserve">CCDC Practice - 01/17/2018 (Bind9 on Ubuntu 16.04.2 LTS)</w:t>
    </w:r>
  </w:p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  <w:t xml:space="preserve">Charlton Trezevant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