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Document Control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Versioning 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Version 1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Placed into production</w:t>
            </w:r>
          </w:p>
        </w:tc>
      </w:tr>
    </w:tbl>
    <w:p w:rsidR="00000000" w:rsidDel="00000000" w:rsidP="00000000" w:rsidRDefault="00000000" w:rsidRPr="00000000" w14:paraId="00000009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Applicable Parties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This document is strictly confidential and should only be distributed or viewed by the following parties: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Designated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Regional Employees (Compartmented to the Division)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Management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 Auditing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Review Period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This document is subject to review by the Information Security Policy Committee (ISPC) at a minimum interval of quarterly (every 3 months) at a maximum interval of bi-annually (every 6 months).</w:t>
      </w:r>
    </w:p>
    <w:p w:rsidR="00000000" w:rsidDel="00000000" w:rsidP="00000000" w:rsidRDefault="00000000" w:rsidRPr="00000000" w14:paraId="00000011">
      <w:pPr>
        <w:pStyle w:val="Heading3"/>
        <w:numPr>
          <w:ilvl w:val="2"/>
          <w:numId w:val="1"/>
        </w:numPr>
        <w:ind w:left="720" w:hanging="72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Previous Reviews</w:t>
        <w:br w:type="textWrapping"/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92"/>
        <w:gridCol w:w="3192"/>
        <w:gridCol w:w="3192"/>
        <w:tblGridChange w:id="0">
          <w:tblGrid>
            <w:gridCol w:w="3192"/>
            <w:gridCol w:w="3192"/>
            <w:gridCol w:w="3192"/>
          </w:tblGrid>
        </w:tblGridChange>
      </w:tblGrid>
      <w:tr>
        <w:tc>
          <w:tcPr>
            <w:shd w:fill="bfbfbf" w:val="clea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Committee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 Date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Approval Date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ISPC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Corporate CIO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purpose of this policy is to provide guidance for.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seeks to.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23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Applicability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applies to all HAL employees and affiliates at all HAL facilities and locations world-wide.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is under the direct control of the HAL Corporate CIO with input from xx and other members of management with an interest in the program.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policy is implemented by 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Policy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General Guidelines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576" w:hanging="576"/>
        <w:rPr/>
      </w:pPr>
      <w:r w:rsidDel="00000000" w:rsidR="00000000" w:rsidRPr="00000000">
        <w:rPr>
          <w:rtl w:val="0"/>
        </w:rPr>
        <w:t xml:space="preserve">Specific Guidance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720" w:hanging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Detail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Enforcement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employee found to be in violation this policy may be subject to disciplinary action, up to and including termination of employment.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As part of the SECCDC event, infractions of the rules regarding this policy may result in a point penalty.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 penalties guidelines: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Minor infractions such as may be assessed n (n) points per occurrence,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 infractions such as may be assessed n (n) points per occurrence,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rtl w:val="0"/>
        </w:rPr>
        <w:t xml:space="preserve">Key Terms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76.0" w:type="dxa"/>
      <w:jc w:val="left"/>
      <w:tblInd w:w="0.0" w:type="dxa"/>
      <w:tblBorders>
        <w:top w:color="808080" w:space="0" w:sz="18" w:val="single"/>
        <w:insideV w:color="808080" w:space="0" w:sz="18" w:val="single"/>
      </w:tblBorders>
      <w:tblLayout w:type="fixed"/>
      <w:tblLook w:val="0400"/>
    </w:tblPr>
    <w:tblGrid>
      <w:gridCol w:w="993"/>
      <w:gridCol w:w="8583"/>
      <w:tblGridChange w:id="0">
        <w:tblGrid>
          <w:gridCol w:w="993"/>
          <w:gridCol w:w="8583"/>
        </w:tblGrid>
      </w:tblGridChange>
    </w:tblGrid>
    <w:tr>
      <w:tc>
        <w:tcPr/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4f81bd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Change Control Policy</w:t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3"/>
      <w:tblW w:w="9590.0" w:type="dxa"/>
      <w:jc w:val="left"/>
      <w:tblInd w:w="0.0" w:type="dxa"/>
      <w:tblBorders>
        <w:bottom w:color="808080" w:space="0" w:sz="18" w:val="single"/>
        <w:insideV w:color="808080" w:space="0" w:sz="18" w:val="single"/>
      </w:tblBorders>
      <w:tblLayout w:type="fixed"/>
      <w:tblLook w:val="0400"/>
    </w:tblPr>
    <w:tblGrid>
      <w:gridCol w:w="4795"/>
      <w:gridCol w:w="4795"/>
      <w:tblGridChange w:id="0">
        <w:tblGrid>
          <w:gridCol w:w="4795"/>
          <w:gridCol w:w="4795"/>
        </w:tblGrid>
      </w:tblGridChange>
    </w:tblGrid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1591945" cy="1127125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945" cy="11271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HAL Policy</w:t>
            <w:br w:type="textWrapping"/>
            <w:t xml:space="preserve">Issue Specific Policy</w:t>
            <w:br w:type="textWrapping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36"/>
              <w:szCs w:val="36"/>
              <w:u w:val="none"/>
              <w:shd w:fill="auto" w:val="clear"/>
              <w:vertAlign w:val="baseline"/>
              <w:rtl w:val="0"/>
            </w:rPr>
            <w:br w:type="textWrapping"/>
          </w:r>
          <w:r w:rsidDel="00000000" w:rsidR="00000000" w:rsidRPr="00000000">
            <w:rPr>
              <w:rFonts w:ascii="Cambria" w:cs="Cambria" w:eastAsia="Cambria" w:hAnsi="Cambria"/>
              <w:b w:val="1"/>
              <w:i w:val="0"/>
              <w:smallCaps w:val="0"/>
              <w:strike w:val="0"/>
              <w:color w:val="4f81bd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issptopic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576" w:hanging="576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mbria" w:cs="Cambria" w:eastAsia="Cambria" w:hAnsi="Cambria"/>
      <w:i w:val="1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