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rPr/>
      </w:pPr>
      <w:r w:rsidDel="00000000" w:rsidR="00000000" w:rsidRPr="00000000">
        <w:rPr>
          <w:rtl w:val="0"/>
        </w:rPr>
        <w:t xml:space="preserve">  </w:t>
      </w:r>
    </w:p>
    <w:bookmarkStart w:colFirst="0" w:colLast="0" w:name="gjdgxs" w:id="0"/>
    <w:bookmarkEnd w:id="0"/>
    <w:p w:rsidR="00000000" w:rsidDel="00000000" w:rsidP="00000000" w:rsidRDefault="00000000" w:rsidRPr="00000000" w14:paraId="00000002">
      <w:pPr>
        <w:tabs>
          <w:tab w:val="left" w:pos="2880"/>
          <w:tab w:val="left" w:pos="5040"/>
          <w:tab w:val="right" w:pos="8640"/>
        </w:tabs>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3687913</wp:posOffset>
            </wp:positionH>
            <wp:positionV relativeFrom="paragraph">
              <wp:posOffset>0</wp:posOffset>
            </wp:positionV>
            <wp:extent cx="3170087" cy="2255263"/>
            <wp:effectExtent b="0" l="0" r="0" t="0"/>
            <wp:wrapNone/>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3170087" cy="2255263"/>
                    </a:xfrm>
                    <a:prstGeom prst="rect"/>
                    <a:ln/>
                  </pic:spPr>
                </pic:pic>
              </a:graphicData>
            </a:graphic>
          </wp:anchor>
        </w:drawing>
      </w:r>
    </w:p>
    <w:p w:rsidR="00000000" w:rsidDel="00000000" w:rsidP="00000000" w:rsidRDefault="00000000" w:rsidRPr="00000000" w14:paraId="00000003">
      <w:pPr>
        <w:tabs>
          <w:tab w:val="left" w:pos="2880"/>
          <w:tab w:val="left" w:pos="5040"/>
          <w:tab w:val="right" w:pos="8640"/>
        </w:tabs>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60"/>
          <w:szCs w:val="60"/>
          <w:rtl w:val="0"/>
        </w:rPr>
        <w:t xml:space="preserve">Internal Memorandum</w:t>
      </w:r>
      <w:r w:rsidDel="00000000" w:rsidR="00000000" w:rsidRPr="00000000">
        <w:rPr>
          <w:rtl w:val="0"/>
        </w:rPr>
      </w:r>
    </w:p>
    <w:p w:rsidR="00000000" w:rsidDel="00000000" w:rsidP="00000000" w:rsidRDefault="00000000" w:rsidRPr="00000000" w14:paraId="00000004">
      <w:pPr>
        <w:keepLines w:val="1"/>
        <w:tabs>
          <w:tab w:val="left" w:pos="2880"/>
          <w:tab w:val="left" w:pos="5040"/>
          <w:tab w:val="right" w:pos="8640"/>
        </w:tabs>
        <w:spacing w:line="240" w:lineRule="auto"/>
        <w:ind w:left="1560" w:hanging="720"/>
        <w:rPr>
          <w:rFonts w:ascii="Times New Roman" w:cs="Times New Roman" w:eastAsia="Times New Roman" w:hAnsi="Times New Roman"/>
          <w:sz w:val="20"/>
          <w:szCs w:val="20"/>
        </w:rPr>
      </w:pPr>
      <w:r w:rsidDel="00000000" w:rsidR="00000000" w:rsidRPr="00000000">
        <w:rPr>
          <w:b w:val="1"/>
          <w:sz w:val="18"/>
          <w:szCs w:val="18"/>
          <w:rtl w:val="0"/>
        </w:rPr>
        <w:t xml:space="preserve">To:</w:t>
      </w:r>
      <w:r w:rsidDel="00000000" w:rsidR="00000000" w:rsidRPr="00000000">
        <w:rPr>
          <w:rFonts w:ascii="Times New Roman" w:cs="Times New Roman" w:eastAsia="Times New Roman" w:hAnsi="Times New Roman"/>
          <w:sz w:val="20"/>
          <w:szCs w:val="20"/>
          <w:rtl w:val="0"/>
        </w:rPr>
        <w:t xml:space="preserve"> CIO</w:t>
        <w:tab/>
      </w:r>
    </w:p>
    <w:p w:rsidR="00000000" w:rsidDel="00000000" w:rsidP="00000000" w:rsidRDefault="00000000" w:rsidRPr="00000000" w14:paraId="00000005">
      <w:pPr>
        <w:keepLines w:val="1"/>
        <w:tabs>
          <w:tab w:val="left" w:pos="2880"/>
          <w:tab w:val="left" w:pos="5040"/>
          <w:tab w:val="right" w:pos="8640"/>
        </w:tabs>
        <w:spacing w:line="240" w:lineRule="auto"/>
        <w:ind w:left="1560" w:hanging="720"/>
        <w:rPr>
          <w:rFonts w:ascii="Times New Roman" w:cs="Times New Roman" w:eastAsia="Times New Roman" w:hAnsi="Times New Roman"/>
          <w:sz w:val="20"/>
          <w:szCs w:val="20"/>
        </w:rPr>
      </w:pPr>
      <w:r w:rsidDel="00000000" w:rsidR="00000000" w:rsidRPr="00000000">
        <w:rPr>
          <w:b w:val="1"/>
          <w:sz w:val="18"/>
          <w:szCs w:val="18"/>
          <w:rtl w:val="0"/>
        </w:rPr>
        <w:t xml:space="preserve">CC:</w:t>
      </w: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06">
      <w:pPr>
        <w:keepLines w:val="1"/>
        <w:tabs>
          <w:tab w:val="left" w:pos="2880"/>
          <w:tab w:val="left" w:pos="5040"/>
          <w:tab w:val="right" w:pos="8640"/>
        </w:tabs>
        <w:spacing w:line="240" w:lineRule="auto"/>
        <w:ind w:left="1560" w:hanging="720"/>
        <w:rPr>
          <w:rFonts w:ascii="Times New Roman" w:cs="Times New Roman" w:eastAsia="Times New Roman" w:hAnsi="Times New Roman"/>
          <w:sz w:val="20"/>
          <w:szCs w:val="20"/>
        </w:rPr>
      </w:pPr>
      <w:r w:rsidDel="00000000" w:rsidR="00000000" w:rsidRPr="00000000">
        <w:rPr>
          <w:b w:val="1"/>
          <w:sz w:val="18"/>
          <w:szCs w:val="18"/>
          <w:rtl w:val="0"/>
        </w:rPr>
        <w:t xml:space="preserve">From:</w:t>
      </w:r>
      <w:r w:rsidDel="00000000" w:rsidR="00000000" w:rsidRPr="00000000">
        <w:rPr>
          <w:rFonts w:ascii="Times New Roman" w:cs="Times New Roman" w:eastAsia="Times New Roman" w:hAnsi="Times New Roman"/>
          <w:sz w:val="20"/>
          <w:szCs w:val="20"/>
          <w:rtl w:val="0"/>
        </w:rPr>
        <w:t xml:space="preserve">Team A</w:t>
      </w:r>
    </w:p>
    <w:p w:rsidR="00000000" w:rsidDel="00000000" w:rsidP="00000000" w:rsidRDefault="00000000" w:rsidRPr="00000000" w14:paraId="00000007">
      <w:pPr>
        <w:keepLines w:val="1"/>
        <w:tabs>
          <w:tab w:val="left" w:pos="2880"/>
          <w:tab w:val="left" w:pos="5040"/>
          <w:tab w:val="right" w:pos="8640"/>
        </w:tabs>
        <w:spacing w:line="240" w:lineRule="auto"/>
        <w:ind w:left="1560" w:hanging="720"/>
        <w:rPr>
          <w:rFonts w:ascii="Times New Roman" w:cs="Times New Roman" w:eastAsia="Times New Roman" w:hAnsi="Times New Roman"/>
          <w:sz w:val="20"/>
          <w:szCs w:val="20"/>
        </w:rPr>
      </w:pPr>
      <w:r w:rsidDel="00000000" w:rsidR="00000000" w:rsidRPr="00000000">
        <w:rPr>
          <w:b w:val="1"/>
          <w:sz w:val="18"/>
          <w:szCs w:val="18"/>
          <w:rtl w:val="0"/>
        </w:rPr>
        <w:t xml:space="preserve">Date:</w:t>
      </w:r>
      <w:r w:rsidDel="00000000" w:rsidR="00000000" w:rsidRPr="00000000">
        <w:rPr>
          <w:rFonts w:ascii="Times New Roman" w:cs="Times New Roman" w:eastAsia="Times New Roman" w:hAnsi="Times New Roman"/>
          <w:sz w:val="20"/>
          <w:szCs w:val="20"/>
          <w:rtl w:val="0"/>
        </w:rPr>
        <w:t xml:space="preserve"> October 21, 2018</w:t>
      </w:r>
    </w:p>
    <w:p w:rsidR="00000000" w:rsidDel="00000000" w:rsidP="00000000" w:rsidRDefault="00000000" w:rsidRPr="00000000" w14:paraId="00000008">
      <w:pPr>
        <w:keepLines w:val="1"/>
        <w:tabs>
          <w:tab w:val="left" w:pos="2880"/>
          <w:tab w:val="left" w:pos="5040"/>
          <w:tab w:val="right" w:pos="8640"/>
        </w:tabs>
        <w:spacing w:line="240" w:lineRule="auto"/>
        <w:ind w:left="1560" w:hanging="720"/>
        <w:rPr>
          <w:rFonts w:ascii="Times New Roman" w:cs="Times New Roman" w:eastAsia="Times New Roman" w:hAnsi="Times New Roman"/>
          <w:sz w:val="20"/>
          <w:szCs w:val="20"/>
        </w:rPr>
      </w:pPr>
      <w:r w:rsidDel="00000000" w:rsidR="00000000" w:rsidRPr="00000000">
        <w:rPr>
          <w:b w:val="1"/>
          <w:sz w:val="18"/>
          <w:szCs w:val="18"/>
          <w:rtl w:val="0"/>
        </w:rPr>
        <w:t xml:space="preserve">Memo #: 2</w:t>
        <w:tab/>
        <w:tab/>
      </w: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09">
      <w:pPr>
        <w:keepLines w:val="1"/>
        <w:pBdr>
          <w:bottom w:color="000000" w:space="22" w:sz="6" w:val="single"/>
        </w:pBdr>
        <w:tabs>
          <w:tab w:val="left" w:pos="2880"/>
          <w:tab w:val="left" w:pos="5040"/>
          <w:tab w:val="right" w:pos="8640"/>
        </w:tabs>
        <w:spacing w:after="400" w:line="240" w:lineRule="auto"/>
        <w:ind w:left="1560" w:hanging="720"/>
        <w:rPr>
          <w:sz w:val="20"/>
          <w:szCs w:val="20"/>
        </w:rPr>
      </w:pPr>
      <w:r w:rsidDel="00000000" w:rsidR="00000000" w:rsidRPr="00000000">
        <w:rPr>
          <w:b w:val="1"/>
          <w:sz w:val="18"/>
          <w:szCs w:val="18"/>
          <w:rtl w:val="0"/>
        </w:rPr>
        <w:t xml:space="preserve">Re:</w:t>
      </w:r>
      <w:r w:rsidDel="00000000" w:rsidR="00000000" w:rsidRPr="00000000">
        <w:rPr>
          <w:sz w:val="20"/>
          <w:szCs w:val="20"/>
          <w:rtl w:val="0"/>
        </w:rPr>
        <w:t xml:space="preserve"> Enable and activate firewall </w:t>
      </w:r>
    </w:p>
    <w:p w:rsidR="00000000" w:rsidDel="00000000" w:rsidP="00000000" w:rsidRDefault="00000000" w:rsidRPr="00000000" w14:paraId="0000000A">
      <w:pPr>
        <w:spacing w:after="200" w:line="276" w:lineRule="auto"/>
        <w:rPr>
          <w:b w:val="1"/>
        </w:rPr>
      </w:pPr>
      <w:r w:rsidDel="00000000" w:rsidR="00000000" w:rsidRPr="00000000">
        <w:rPr>
          <w:b w:val="1"/>
          <w:rtl w:val="0"/>
        </w:rPr>
        <w:t xml:space="preserve">Good Afternoon,</w:t>
      </w:r>
    </w:p>
    <w:p w:rsidR="00000000" w:rsidDel="00000000" w:rsidP="00000000" w:rsidRDefault="00000000" w:rsidRPr="00000000" w14:paraId="0000000B">
      <w:pPr>
        <w:spacing w:after="200" w:line="276" w:lineRule="auto"/>
        <w:rPr>
          <w:b w:val="1"/>
        </w:rPr>
      </w:pPr>
      <w:r w:rsidDel="00000000" w:rsidR="00000000" w:rsidRPr="00000000">
        <w:rPr>
          <w:b w:val="1"/>
          <w:rtl w:val="0"/>
        </w:rPr>
        <w:t xml:space="preserve">Attached is the firewall rule addition for each computer. </w:t>
      </w:r>
    </w:p>
    <w:p w:rsidR="00000000" w:rsidDel="00000000" w:rsidP="00000000" w:rsidRDefault="00000000" w:rsidRPr="00000000" w14:paraId="0000000C">
      <w:pPr>
        <w:rPr/>
      </w:pPr>
      <w:r w:rsidDel="00000000" w:rsidR="00000000" w:rsidRPr="00000000">
        <w:rPr>
          <w:rtl w:val="0"/>
        </w:rPr>
        <w:t xml:space="preserve"> Windows 2008 - MediaWiki</w:t>
      </w:r>
    </w:p>
    <w:p w:rsidR="00000000" w:rsidDel="00000000" w:rsidP="00000000" w:rsidRDefault="00000000" w:rsidRPr="00000000" w14:paraId="0000000D">
      <w:pPr>
        <w:rPr/>
      </w:pPr>
      <w:r w:rsidDel="00000000" w:rsidR="00000000" w:rsidRPr="00000000">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34220</wp:posOffset>
            </wp:positionH>
            <wp:positionV relativeFrom="paragraph">
              <wp:posOffset>152400</wp:posOffset>
            </wp:positionV>
            <wp:extent cx="6061783" cy="3715287"/>
            <wp:effectExtent b="0" l="0" r="0" t="0"/>
            <wp:wrapSquare wrapText="bothSides" distB="152400" distT="152400" distL="152400" distR="1524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61783" cy="3715287"/>
                    </a:xfrm>
                    <a:prstGeom prst="rect"/>
                    <a:ln/>
                  </pic:spPr>
                </pic:pic>
              </a:graphicData>
            </a:graphic>
          </wp:anchor>
        </w:drawing>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Figure 3: Windows Server 2008</w:t>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34544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br w:type="textWrapping"/>
      </w:r>
    </w:p>
    <w:p w:rsidR="00000000" w:rsidDel="00000000" w:rsidP="00000000" w:rsidRDefault="00000000" w:rsidRPr="00000000" w14:paraId="00000013">
      <w:pPr>
        <w:rPr>
          <w:b w:val="1"/>
        </w:rPr>
      </w:pPr>
      <w:r w:rsidDel="00000000" w:rsidR="00000000" w:rsidRPr="00000000">
        <w:rPr>
          <w:rtl w:val="0"/>
        </w:rPr>
        <w:br w:type="textWrapping"/>
      </w:r>
      <w:r w:rsidDel="00000000" w:rsidR="00000000" w:rsidRPr="00000000">
        <w:rPr>
          <w:b w:val="1"/>
          <w:rtl w:val="0"/>
        </w:rPr>
        <w:t xml:space="preserve">Figure 4: Windows Server 2012</w:t>
      </w:r>
    </w:p>
    <w:p w:rsidR="00000000" w:rsidDel="00000000" w:rsidP="00000000" w:rsidRDefault="00000000" w:rsidRPr="00000000" w14:paraId="00000014">
      <w:pPr>
        <w:rPr/>
      </w:pPr>
      <w:r w:rsidDel="00000000" w:rsidR="00000000" w:rsidRPr="00000000">
        <w:rPr/>
        <w:drawing>
          <wp:inline distB="114300" distT="114300" distL="114300" distR="114300">
            <wp:extent cx="5943600" cy="34544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tabs>
          <w:tab w:val="center" w:pos="4320"/>
          <w:tab w:val="right"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6"/>
          <w:szCs w:val="16"/>
          <w:rtl w:val="0"/>
        </w:rPr>
        <w:t xml:space="preserve">This document is for the explicit purpose of supporting the 2018 SECCDC Preliminary Qualification Competition.  Any similarity to organizations or persons real or imagined is purely coincidental.  Do not disclose this document to anyone without the expressed permission of the competition organizers.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Ubunto - Bind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624513" cy="3271952"/>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624513" cy="327195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line="240" w:lineRule="auto"/>
        <w:ind w:left="900" w:firstLine="0"/>
        <w:rPr>
          <w:sz w:val="24"/>
          <w:szCs w:val="24"/>
        </w:rPr>
      </w:pPr>
      <w:r w:rsidDel="00000000" w:rsidR="00000000" w:rsidRPr="00000000">
        <w:rPr>
          <w:sz w:val="24"/>
          <w:szCs w:val="24"/>
          <w:rtl w:val="0"/>
        </w:rPr>
        <w:t xml:space="preserve">Sincerely,</w:t>
      </w:r>
    </w:p>
    <w:p w:rsidR="00000000" w:rsidDel="00000000" w:rsidP="00000000" w:rsidRDefault="00000000" w:rsidRPr="00000000" w14:paraId="0000001D">
      <w:pPr>
        <w:spacing w:line="240" w:lineRule="auto"/>
        <w:ind w:left="900" w:firstLine="0"/>
        <w:rPr>
          <w:sz w:val="24"/>
          <w:szCs w:val="24"/>
        </w:rPr>
      </w:pPr>
      <w:r w:rsidDel="00000000" w:rsidR="00000000" w:rsidRPr="00000000">
        <w:rPr>
          <w:sz w:val="24"/>
          <w:szCs w:val="24"/>
          <w:rtl w:val="0"/>
        </w:rPr>
        <w:t xml:space="preserve">Team A</w:t>
      </w:r>
    </w:p>
    <w:p w:rsidR="00000000" w:rsidDel="00000000" w:rsidP="00000000" w:rsidRDefault="00000000" w:rsidRPr="00000000" w14:paraId="0000001E">
      <w:pPr>
        <w:tabs>
          <w:tab w:val="left" w:pos="1620"/>
        </w:tabs>
        <w:spacing w:line="240" w:lineRule="auto"/>
        <w:ind w:left="900" w:firstLine="0"/>
        <w:rPr>
          <w:sz w:val="24"/>
          <w:szCs w:val="24"/>
        </w:rPr>
      </w:pPr>
      <w:r w:rsidDel="00000000" w:rsidR="00000000" w:rsidRPr="00000000">
        <w:rPr>
          <w:sz w:val="24"/>
          <w:szCs w:val="24"/>
          <w:rtl w:val="0"/>
        </w:rPr>
        <w:tab/>
      </w:r>
    </w:p>
    <w:p w:rsidR="00000000" w:rsidDel="00000000" w:rsidP="00000000" w:rsidRDefault="00000000" w:rsidRPr="00000000" w14:paraId="0000001F">
      <w:pPr>
        <w:tabs>
          <w:tab w:val="left" w:pos="1620"/>
        </w:tabs>
        <w:spacing w:line="240" w:lineRule="auto"/>
        <w:ind w:left="900" w:firstLine="0"/>
        <w:rPr/>
      </w:pPr>
      <w:bookmarkStart w:colFirst="0" w:colLast="0" w:name="_30j0zll" w:id="1"/>
      <w:bookmarkEnd w:id="1"/>
      <w:r w:rsidDel="00000000" w:rsidR="00000000" w:rsidRPr="00000000">
        <w:rPr>
          <w:i w:val="1"/>
          <w:sz w:val="24"/>
          <w:szCs w:val="24"/>
          <w:rtl w:val="0"/>
        </w:rPr>
        <w:t xml:space="preserve">In accordance with HAL Memorandum policy, the entire header must be completed or the recipient may not acknowledge this as an official memorandum.  Professional communications methods and decorum must be observed at all times.</w:t>
      </w:r>
      <w:r w:rsidDel="00000000" w:rsidR="00000000" w:rsidRPr="00000000">
        <w:rPr>
          <w:rtl w:val="0"/>
        </w:rPr>
      </w:r>
    </w:p>
    <w:sectPr>
      <w:headerReference r:id="rId12" w:type="default"/>
      <w:footerReference r:id="rId13"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tabs>
        <w:tab w:val="center" w:pos="4320"/>
        <w:tab w:val="right"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6"/>
        <w:szCs w:val="16"/>
        <w:rtl w:val="0"/>
      </w:rPr>
      <w:t xml:space="preserve">This document is for the explicit purpose of supporting the 2018 SECCDC Preliminary Qualification Competition.  Any similarity to organizations or persons real or imagined is purely coincidental.  Do not disclose this document to anyone without the expressed permission of the competition organizers.</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