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color w:val="000000"/>
          <w:sz w:val="20"/>
          <w:szCs w:val="20"/>
          <w:rtl w:val="0"/>
        </w:rPr>
        <w:t xml:space="preserve"> CIO</w:t>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rtl w:val="0"/>
        </w:rPr>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w:t>
      </w:r>
      <w:r w:rsidDel="00000000" w:rsidR="00000000" w:rsidRPr="00000000">
        <w:rPr>
          <w:color w:val="000000"/>
          <w:sz w:val="20"/>
          <w:szCs w:val="20"/>
          <w:rtl w:val="0"/>
        </w:rPr>
        <w:t xml:space="preserve"> Joshua Rueda</w:t>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 xml:space="preserve"> 10/21/2018 </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w:t>
      </w:r>
      <w:r w:rsidDel="00000000" w:rsidR="00000000" w:rsidRPr="00000000">
        <w:rPr>
          <w:rFonts w:ascii="Arial" w:cs="Arial" w:eastAsia="Arial" w:hAnsi="Arial"/>
          <w:color w:val="000000"/>
          <w:sz w:val="18"/>
          <w:szCs w:val="18"/>
          <w:rtl w:val="0"/>
        </w:rPr>
        <w:t xml:space="preserve">7</w:t>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color w:val="000000"/>
          <w:sz w:val="20"/>
          <w:szCs w:val="20"/>
          <w:rtl w:val="0"/>
        </w:rPr>
        <w:t xml:space="preserve"> Unusual Finds in Box</w:t>
      </w:r>
    </w:p>
    <w:p w:rsidR="00000000" w:rsidDel="00000000" w:rsidP="00000000" w:rsidRDefault="00000000" w:rsidRPr="00000000" w14:paraId="00000009">
      <w:pPr>
        <w:ind w:left="900"/>
        <w:rPr>
          <w:rFonts w:ascii="Arial" w:cs="Arial" w:eastAsia="Arial" w:hAnsi="Arial"/>
        </w:rPr>
      </w:pPr>
      <w:r w:rsidDel="00000000" w:rsidR="00000000" w:rsidRPr="00000000">
        <w:rPr>
          <w:rFonts w:ascii="Arial" w:cs="Arial" w:eastAsia="Arial" w:hAnsi="Arial"/>
          <w:rtl w:val="0"/>
        </w:rPr>
        <w:t xml:space="preserve">Good Afternoon,</w:t>
      </w:r>
    </w:p>
    <w:p w:rsidR="00000000" w:rsidDel="00000000" w:rsidP="00000000" w:rsidRDefault="00000000" w:rsidRPr="00000000" w14:paraId="0000000A">
      <w:pPr>
        <w:ind w:left="900"/>
        <w:rPr>
          <w:rFonts w:ascii="Arial" w:cs="Arial" w:eastAsia="Arial" w:hAnsi="Arial"/>
        </w:rPr>
      </w:pPr>
      <w:r w:rsidDel="00000000" w:rsidR="00000000" w:rsidRPr="00000000">
        <w:rPr>
          <w:rtl w:val="0"/>
        </w:rPr>
      </w:r>
    </w:p>
    <w:p w:rsidR="00000000" w:rsidDel="00000000" w:rsidP="00000000" w:rsidRDefault="00000000" w:rsidRPr="00000000" w14:paraId="0000000B">
      <w:pPr>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While monitoring and checking the system, there were a few unusual findings in the box that was given. One of which were a few unknown user accounts with admin privileges that could have remote access into the box. Another was a program called “Tiger VNC” was downloaded into the administration account. Investigating, Tiger VNC is a client/server application to allow one to interact with the remote desktop. There were also a few firewall settings that were not on the safest settings possible: the firewall was completely turned off. And to change that, I had to change the group policy as well to allow administrators to change the firewall settings.</w:t>
      </w:r>
    </w:p>
    <w:p w:rsidR="00000000" w:rsidDel="00000000" w:rsidP="00000000" w:rsidRDefault="00000000" w:rsidRPr="00000000" w14:paraId="0000000C">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D">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