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 Office of CIO</w:t>
      </w:r>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bookmarkStart w:colFirst="0" w:colLast="0" w:name="_30j0zll" w:id="1"/>
      <w:bookmarkEnd w:id="1"/>
      <w:r w:rsidDel="00000000" w:rsidR="00000000" w:rsidRPr="00000000">
        <w:rPr>
          <w:rFonts w:ascii="Arial" w:cs="Arial" w:eastAsia="Arial" w:hAnsi="Arial"/>
          <w:b w:val="1"/>
          <w:color w:val="000000"/>
          <w:sz w:val="18"/>
          <w:szCs w:val="18"/>
          <w:rtl w:val="0"/>
        </w:rPr>
        <w:t xml:space="preserve">CC: Room Judge</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 Jake DiClemente</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 10/20/2018</w:t>
      </w:r>
      <w:r w:rsidDel="00000000" w:rsidR="00000000" w:rsidRPr="00000000">
        <w:rPr>
          <w:color w:val="000000"/>
          <w:sz w:val="20"/>
          <w:szCs w:val="20"/>
          <w:rtl w:val="0"/>
        </w:rPr>
        <w:tab/>
        <w:t xml:space="preserve">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Memo #: </w:t>
      </w: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b w:val="1"/>
          <w:color w:val="000000"/>
          <w:sz w:val="20"/>
          <w:szCs w:val="20"/>
        </w:rPr>
      </w:pPr>
      <w:r w:rsidDel="00000000" w:rsidR="00000000" w:rsidRPr="00000000">
        <w:rPr>
          <w:rFonts w:ascii="Arial" w:cs="Arial" w:eastAsia="Arial" w:hAnsi="Arial"/>
          <w:b w:val="1"/>
          <w:color w:val="000000"/>
          <w:sz w:val="18"/>
          <w:szCs w:val="18"/>
          <w:rtl w:val="0"/>
        </w:rPr>
        <w:t xml:space="preserve">Re: Help Desk Services</w:t>
      </w:r>
      <w:r w:rsidDel="00000000" w:rsidR="00000000" w:rsidRPr="00000000">
        <w:rPr>
          <w:rFonts w:ascii="Arial" w:cs="Arial" w:eastAsia="Arial" w:hAnsi="Arial"/>
          <w:b w:val="1"/>
          <w:color w:val="000000"/>
          <w:sz w:val="20"/>
          <w:szCs w:val="20"/>
          <w:rtl w:val="0"/>
        </w:rPr>
        <w:tab/>
      </w:r>
    </w:p>
    <w:p w:rsidR="00000000" w:rsidDel="00000000" w:rsidP="00000000" w:rsidRDefault="00000000" w:rsidRPr="00000000" w14:paraId="00000009">
      <w:pPr>
        <w:tabs>
          <w:tab w:val="left" w:pos="1620"/>
        </w:tabs>
        <w:ind w:left="90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A">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pos="1620"/>
        </w:tabs>
        <w:ind w:left="900"/>
        <w:rPr>
          <w:rFonts w:ascii="Arial" w:cs="Arial" w:eastAsia="Arial" w:hAnsi="Arial"/>
        </w:rPr>
      </w:pPr>
      <w:r w:rsidDel="00000000" w:rsidR="00000000" w:rsidRPr="00000000">
        <w:rPr>
          <w:rFonts w:ascii="Arial" w:cs="Arial" w:eastAsia="Arial" w:hAnsi="Arial"/>
          <w:rtl w:val="0"/>
        </w:rPr>
        <w:t xml:space="preserve">We would like to request general technical support from your technical staff to the amount of 50</w:t>
      </w:r>
    </w:p>
    <w:p w:rsidR="00000000" w:rsidDel="00000000" w:rsidP="00000000" w:rsidRDefault="00000000" w:rsidRPr="00000000" w14:paraId="0000000C">
      <w:pPr>
        <w:tabs>
          <w:tab w:val="left" w:pos="1620"/>
        </w:tabs>
        <w:ind w:left="900"/>
        <w:rPr>
          <w:rFonts w:ascii="Arial" w:cs="Arial" w:eastAsia="Arial" w:hAnsi="Arial"/>
        </w:rPr>
      </w:pPr>
      <w:r w:rsidDel="00000000" w:rsidR="00000000" w:rsidRPr="00000000">
        <w:rPr>
          <w:rFonts w:ascii="Arial" w:cs="Arial" w:eastAsia="Arial" w:hAnsi="Arial"/>
          <w:rtl w:val="0"/>
        </w:rPr>
        <w:t xml:space="preserve">consulting hours.</w:t>
      </w:r>
    </w:p>
    <w:p w:rsidR="00000000" w:rsidDel="00000000" w:rsidP="00000000" w:rsidRDefault="00000000" w:rsidRPr="00000000" w14:paraId="0000000D">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pos="1620"/>
        </w:tabs>
        <w:ind w:left="900"/>
        <w:rPr>
          <w:rFonts w:ascii="Arial" w:cs="Arial" w:eastAsia="Arial" w:hAnsi="Arial"/>
        </w:rPr>
      </w:pPr>
      <w:r w:rsidDel="00000000" w:rsidR="00000000" w:rsidRPr="00000000">
        <w:rPr>
          <w:rFonts w:ascii="Arial" w:cs="Arial" w:eastAsia="Arial" w:hAnsi="Arial"/>
          <w:rtl w:val="0"/>
        </w:rPr>
        <w:t xml:space="preserve">Thanks,</w:t>
      </w:r>
    </w:p>
    <w:p w:rsidR="00000000" w:rsidDel="00000000" w:rsidP="00000000" w:rsidRDefault="00000000" w:rsidRPr="00000000" w14:paraId="0000000F">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pos="1620"/>
        </w:tabs>
        <w:ind w:left="900"/>
        <w:rPr>
          <w:rFonts w:ascii="Arial" w:cs="Arial" w:eastAsia="Arial" w:hAnsi="Arial"/>
        </w:rPr>
      </w:pPr>
      <w:r w:rsidDel="00000000" w:rsidR="00000000" w:rsidRPr="00000000">
        <w:rPr>
          <w:rFonts w:ascii="Arial" w:cs="Arial" w:eastAsia="Arial" w:hAnsi="Arial"/>
          <w:rtl w:val="0"/>
        </w:rPr>
        <w:t xml:space="preserve">Jake DiClemente</w:t>
      </w:r>
    </w:p>
    <w:p w:rsidR="00000000" w:rsidDel="00000000" w:rsidP="00000000" w:rsidRDefault="00000000" w:rsidRPr="00000000" w14:paraId="00000011">
      <w:pPr>
        <w:tabs>
          <w:tab w:val="left" w:pos="1620"/>
        </w:tabs>
        <w:ind w:left="900"/>
        <w:rPr>
          <w:rFonts w:ascii="Arial" w:cs="Arial" w:eastAsia="Arial" w:hAnsi="Arial"/>
        </w:rPr>
      </w:pPr>
      <w:r w:rsidDel="00000000" w:rsidR="00000000" w:rsidRPr="00000000">
        <w:rPr>
          <w:rFonts w:ascii="Arial" w:cs="Arial" w:eastAsia="Arial" w:hAnsi="Arial"/>
          <w:rtl w:val="0"/>
        </w:rPr>
        <w:t xml:space="preserve">Team B</w:t>
      </w:r>
    </w:p>
    <w:p w:rsidR="00000000" w:rsidDel="00000000" w:rsidP="00000000" w:rsidRDefault="00000000" w:rsidRPr="00000000" w14:paraId="00000012">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4">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