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2A6" w:rsidRDefault="00BF6F2A">
      <w:pPr>
        <w:pStyle w:val="Heading1"/>
      </w:pPr>
      <w:r>
        <w:t>Document Control</w:t>
      </w:r>
    </w:p>
    <w:p w:rsidR="004222A6" w:rsidRDefault="00BF6F2A">
      <w:pPr>
        <w:pStyle w:val="Heading2"/>
      </w:pPr>
      <w:bookmarkStart w:id="0" w:name="_Toc301210961"/>
      <w:bookmarkStart w:id="1" w:name="_Toc314856913"/>
      <w:r>
        <w:t>Versioning</w:t>
      </w:r>
      <w:bookmarkEnd w:id="0"/>
      <w:bookmarkEnd w:id="1"/>
      <w:r>
        <w:t xml:space="preserve"> </w:t>
      </w:r>
    </w:p>
    <w:tbl>
      <w:tblPr>
        <w:tblStyle w:val="TableGrid"/>
        <w:tblW w:w="0" w:type="auto"/>
        <w:tblLook w:val="04A0" w:firstRow="1" w:lastRow="0" w:firstColumn="1" w:lastColumn="0" w:noHBand="0" w:noVBand="1"/>
      </w:tblPr>
      <w:tblGrid>
        <w:gridCol w:w="3112"/>
        <w:gridCol w:w="3116"/>
        <w:gridCol w:w="3122"/>
      </w:tblGrid>
      <w:tr w:rsidR="004222A6">
        <w:tc>
          <w:tcPr>
            <w:tcW w:w="3192" w:type="dxa"/>
            <w:shd w:val="clear" w:color="auto" w:fill="BFBFBF" w:themeFill="background1" w:themeFillShade="BF"/>
          </w:tcPr>
          <w:p w:rsidR="004222A6" w:rsidRDefault="00BF6F2A">
            <w:pPr>
              <w:rPr>
                <w:b/>
              </w:rPr>
            </w:pPr>
            <w:r>
              <w:rPr>
                <w:b/>
              </w:rPr>
              <w:t>Name</w:t>
            </w:r>
          </w:p>
        </w:tc>
        <w:tc>
          <w:tcPr>
            <w:tcW w:w="3192" w:type="dxa"/>
            <w:shd w:val="clear" w:color="auto" w:fill="BFBFBF" w:themeFill="background1" w:themeFillShade="BF"/>
          </w:tcPr>
          <w:p w:rsidR="004222A6" w:rsidRDefault="00BF6F2A">
            <w:pPr>
              <w:rPr>
                <w:b/>
              </w:rPr>
            </w:pPr>
            <w:r>
              <w:rPr>
                <w:b/>
              </w:rPr>
              <w:t>Date</w:t>
            </w:r>
          </w:p>
        </w:tc>
        <w:tc>
          <w:tcPr>
            <w:tcW w:w="3192" w:type="dxa"/>
            <w:shd w:val="clear" w:color="auto" w:fill="BFBFBF" w:themeFill="background1" w:themeFillShade="BF"/>
          </w:tcPr>
          <w:p w:rsidR="004222A6" w:rsidRDefault="00BF6F2A">
            <w:pPr>
              <w:rPr>
                <w:b/>
              </w:rPr>
            </w:pPr>
            <w:r>
              <w:rPr>
                <w:b/>
              </w:rPr>
              <w:t>Reason</w:t>
            </w:r>
          </w:p>
        </w:tc>
      </w:tr>
      <w:tr w:rsidR="004222A6">
        <w:tc>
          <w:tcPr>
            <w:tcW w:w="3192" w:type="dxa"/>
          </w:tcPr>
          <w:p w:rsidR="004222A6" w:rsidRDefault="00BF6F2A">
            <w:r>
              <w:t>Version 1</w:t>
            </w:r>
          </w:p>
        </w:tc>
        <w:tc>
          <w:tcPr>
            <w:tcW w:w="3192" w:type="dxa"/>
          </w:tcPr>
          <w:p w:rsidR="004222A6" w:rsidRDefault="002A3DFB">
            <w:r>
              <w:t>February 1, 2019</w:t>
            </w:r>
          </w:p>
        </w:tc>
        <w:tc>
          <w:tcPr>
            <w:tcW w:w="3192" w:type="dxa"/>
          </w:tcPr>
          <w:p w:rsidR="004222A6" w:rsidRDefault="00BF6F2A">
            <w:r>
              <w:t>Placed into production</w:t>
            </w:r>
          </w:p>
        </w:tc>
      </w:tr>
    </w:tbl>
    <w:p w:rsidR="004222A6" w:rsidRDefault="00BF6F2A">
      <w:pPr>
        <w:pStyle w:val="Heading2"/>
      </w:pPr>
      <w:bookmarkStart w:id="2" w:name="_Toc301210962"/>
      <w:bookmarkStart w:id="3" w:name="_Toc314856914"/>
      <w:r>
        <w:t>Applicable Parties</w:t>
      </w:r>
      <w:bookmarkEnd w:id="2"/>
      <w:bookmarkEnd w:id="3"/>
    </w:p>
    <w:p w:rsidR="004222A6" w:rsidRDefault="00BF6F2A">
      <w:r>
        <w:t>This document is strictly confidential and should only be distributed or viewed by the following parties:</w:t>
      </w:r>
    </w:p>
    <w:p w:rsidR="004222A6" w:rsidRDefault="00BF6F2A">
      <w:pPr>
        <w:pStyle w:val="ListParagraph"/>
        <w:numPr>
          <w:ilvl w:val="0"/>
          <w:numId w:val="1"/>
        </w:numPr>
      </w:pPr>
      <w:r>
        <w:t>HAL Designated Associates</w:t>
      </w:r>
    </w:p>
    <w:p w:rsidR="004222A6" w:rsidRDefault="00BF6F2A">
      <w:pPr>
        <w:pStyle w:val="ListParagraph"/>
        <w:numPr>
          <w:ilvl w:val="0"/>
          <w:numId w:val="1"/>
        </w:numPr>
      </w:pPr>
      <w:r>
        <w:t xml:space="preserve">HAL </w:t>
      </w:r>
      <w:r>
        <w:t>Regional Employees (Compartmented to the Division)</w:t>
      </w:r>
    </w:p>
    <w:p w:rsidR="004222A6" w:rsidRDefault="00BF6F2A">
      <w:pPr>
        <w:pStyle w:val="ListParagraph"/>
        <w:numPr>
          <w:ilvl w:val="0"/>
          <w:numId w:val="1"/>
        </w:numPr>
      </w:pPr>
      <w:r>
        <w:t>HAL Management Team</w:t>
      </w:r>
    </w:p>
    <w:p w:rsidR="004222A6" w:rsidRDefault="00BF6F2A">
      <w:pPr>
        <w:pStyle w:val="ListParagraph"/>
        <w:numPr>
          <w:ilvl w:val="0"/>
          <w:numId w:val="1"/>
        </w:numPr>
      </w:pPr>
      <w:r>
        <w:t>HAL Auditing Team</w:t>
      </w:r>
    </w:p>
    <w:p w:rsidR="004222A6" w:rsidRDefault="00BF6F2A">
      <w:pPr>
        <w:pStyle w:val="Heading2"/>
      </w:pPr>
      <w:bookmarkStart w:id="4" w:name="_Toc314856915"/>
      <w:r>
        <w:t>Review Period</w:t>
      </w:r>
      <w:bookmarkEnd w:id="4"/>
    </w:p>
    <w:p w:rsidR="004222A6" w:rsidRDefault="00BF6F2A">
      <w:r>
        <w:t xml:space="preserve">This document is subject to review by the Information Security Policy Committee (ISPC) at a minimum interval of quarterly (every 3 months) at a maximum </w:t>
      </w:r>
      <w:r>
        <w:t>interval of bi-annually (every 6 months).</w:t>
      </w:r>
    </w:p>
    <w:p w:rsidR="004222A6" w:rsidRDefault="00BF6F2A">
      <w:pPr>
        <w:pStyle w:val="Heading3"/>
      </w:pPr>
      <w:bookmarkStart w:id="5" w:name="_Toc314856916"/>
      <w:r>
        <w:t>Previous Reviews</w:t>
      </w:r>
      <w:bookmarkEnd w:id="5"/>
      <w:r>
        <w:br/>
      </w:r>
    </w:p>
    <w:tbl>
      <w:tblPr>
        <w:tblStyle w:val="TableGrid"/>
        <w:tblW w:w="0" w:type="auto"/>
        <w:tblLook w:val="04A0" w:firstRow="1" w:lastRow="0" w:firstColumn="1" w:lastColumn="0" w:noHBand="0" w:noVBand="1"/>
      </w:tblPr>
      <w:tblGrid>
        <w:gridCol w:w="3118"/>
        <w:gridCol w:w="3116"/>
        <w:gridCol w:w="3116"/>
      </w:tblGrid>
      <w:tr w:rsidR="004222A6">
        <w:tc>
          <w:tcPr>
            <w:tcW w:w="3192" w:type="dxa"/>
            <w:shd w:val="clear" w:color="auto" w:fill="BFBFBF" w:themeFill="background1" w:themeFillShade="BF"/>
          </w:tcPr>
          <w:p w:rsidR="004222A6" w:rsidRDefault="00BF6F2A">
            <w:pPr>
              <w:rPr>
                <w:b/>
              </w:rPr>
            </w:pPr>
            <w:r>
              <w:rPr>
                <w:b/>
              </w:rPr>
              <w:t>Committee</w:t>
            </w:r>
          </w:p>
        </w:tc>
        <w:tc>
          <w:tcPr>
            <w:tcW w:w="3192" w:type="dxa"/>
            <w:shd w:val="clear" w:color="auto" w:fill="BFBFBF" w:themeFill="background1" w:themeFillShade="BF"/>
          </w:tcPr>
          <w:p w:rsidR="004222A6" w:rsidRDefault="00BF6F2A">
            <w:pPr>
              <w:rPr>
                <w:b/>
              </w:rPr>
            </w:pPr>
            <w:r>
              <w:rPr>
                <w:b/>
              </w:rPr>
              <w:t>Review Date</w:t>
            </w:r>
          </w:p>
        </w:tc>
        <w:tc>
          <w:tcPr>
            <w:tcW w:w="3192" w:type="dxa"/>
            <w:shd w:val="clear" w:color="auto" w:fill="BFBFBF" w:themeFill="background1" w:themeFillShade="BF"/>
          </w:tcPr>
          <w:p w:rsidR="004222A6" w:rsidRDefault="00BF6F2A">
            <w:pPr>
              <w:rPr>
                <w:b/>
              </w:rPr>
            </w:pPr>
            <w:r>
              <w:rPr>
                <w:b/>
              </w:rPr>
              <w:t>Approval Date</w:t>
            </w:r>
          </w:p>
        </w:tc>
      </w:tr>
      <w:tr w:rsidR="004222A6">
        <w:tc>
          <w:tcPr>
            <w:tcW w:w="3192" w:type="dxa"/>
          </w:tcPr>
          <w:p w:rsidR="004222A6" w:rsidRDefault="00BF6F2A">
            <w:r>
              <w:t>ISPC</w:t>
            </w:r>
          </w:p>
        </w:tc>
        <w:tc>
          <w:tcPr>
            <w:tcW w:w="3192" w:type="dxa"/>
          </w:tcPr>
          <w:p w:rsidR="004222A6" w:rsidRDefault="002A3DFB">
            <w:r>
              <w:t>7/15/2018</w:t>
            </w:r>
          </w:p>
        </w:tc>
        <w:tc>
          <w:tcPr>
            <w:tcW w:w="3192" w:type="dxa"/>
          </w:tcPr>
          <w:p w:rsidR="004222A6" w:rsidRDefault="002A3DFB">
            <w:r>
              <w:t>8/1/2018</w:t>
            </w:r>
          </w:p>
        </w:tc>
      </w:tr>
      <w:tr w:rsidR="004222A6">
        <w:tc>
          <w:tcPr>
            <w:tcW w:w="3192" w:type="dxa"/>
          </w:tcPr>
          <w:p w:rsidR="004222A6" w:rsidRDefault="00BF6F2A">
            <w:r>
              <w:t>CEO</w:t>
            </w:r>
          </w:p>
        </w:tc>
        <w:tc>
          <w:tcPr>
            <w:tcW w:w="3192" w:type="dxa"/>
          </w:tcPr>
          <w:p w:rsidR="004222A6" w:rsidRDefault="002A3DFB">
            <w:r>
              <w:t>1/21/2019</w:t>
            </w:r>
          </w:p>
        </w:tc>
        <w:tc>
          <w:tcPr>
            <w:tcW w:w="3192" w:type="dxa"/>
          </w:tcPr>
          <w:p w:rsidR="004222A6" w:rsidRDefault="002A3DFB">
            <w:r>
              <w:t>1/22/2019</w:t>
            </w:r>
          </w:p>
        </w:tc>
      </w:tr>
      <w:tr w:rsidR="004222A6">
        <w:tc>
          <w:tcPr>
            <w:tcW w:w="3192" w:type="dxa"/>
          </w:tcPr>
          <w:p w:rsidR="004222A6" w:rsidRDefault="00BF6F2A">
            <w:r>
              <w:t>Corporate CIO</w:t>
            </w:r>
          </w:p>
        </w:tc>
        <w:tc>
          <w:tcPr>
            <w:tcW w:w="3192" w:type="dxa"/>
          </w:tcPr>
          <w:p w:rsidR="004222A6" w:rsidRDefault="002A3DFB">
            <w:r>
              <w:t>1/23/2019</w:t>
            </w:r>
          </w:p>
        </w:tc>
        <w:tc>
          <w:tcPr>
            <w:tcW w:w="3192" w:type="dxa"/>
          </w:tcPr>
          <w:p w:rsidR="004222A6" w:rsidRDefault="002A3DFB">
            <w:r>
              <w:t>1/23/2019</w:t>
            </w:r>
            <w:bookmarkStart w:id="6" w:name="_GoBack"/>
            <w:bookmarkEnd w:id="6"/>
          </w:p>
        </w:tc>
      </w:tr>
    </w:tbl>
    <w:p w:rsidR="004222A6" w:rsidRDefault="00BF6F2A">
      <w:pPr>
        <w:pStyle w:val="Heading1"/>
      </w:pPr>
      <w:bookmarkStart w:id="7" w:name="_Toc314856917"/>
      <w:r>
        <w:t>Purpose</w:t>
      </w:r>
    </w:p>
    <w:p w:rsidR="004222A6" w:rsidRDefault="00BF6F2A">
      <w:r>
        <w:t>The purpose of this policy is to provide guidance that limits the use of encryption to those algorithms that have received substantial public review and have been proven to work effectively. Additionally, this policy provides direction to ensure that Feder</w:t>
      </w:r>
      <w:r>
        <w:t xml:space="preserve">al regulations are followed, and legal authority is granted for the dissemination and use of encryption technologies outside of the </w:t>
      </w:r>
      <w:smartTag w:uri="urn:schemas-microsoft-com:office:smarttags" w:element="country-region">
        <w:smartTag w:uri="urn:schemas-microsoft-com:office:smarttags" w:element="place">
          <w:r>
            <w:t>United States</w:t>
          </w:r>
        </w:smartTag>
      </w:smartTag>
      <w:r>
        <w:t>.</w:t>
      </w:r>
    </w:p>
    <w:p w:rsidR="004222A6" w:rsidRDefault="00BF6F2A">
      <w:pPr>
        <w:pStyle w:val="Heading1"/>
      </w:pPr>
      <w:r>
        <w:t>Scope</w:t>
      </w:r>
    </w:p>
    <w:p w:rsidR="004222A6" w:rsidRDefault="00BF6F2A">
      <w:pPr>
        <w:pStyle w:val="Heading2"/>
      </w:pPr>
      <w:r>
        <w:t>Applicability</w:t>
      </w:r>
    </w:p>
    <w:p w:rsidR="004222A6" w:rsidRDefault="00BF6F2A">
      <w:r>
        <w:t>This policy applies to all HAL employees and affiliates at all HAL facilities and locatio</w:t>
      </w:r>
      <w:r>
        <w:t>ns world-wide.</w:t>
      </w:r>
    </w:p>
    <w:p w:rsidR="004222A6" w:rsidRDefault="00BF6F2A">
      <w:pPr>
        <w:pStyle w:val="Heading2"/>
      </w:pPr>
      <w:r>
        <w:lastRenderedPageBreak/>
        <w:t>Ownership</w:t>
      </w:r>
    </w:p>
    <w:p w:rsidR="004222A6" w:rsidRDefault="00BF6F2A">
      <w:r>
        <w:t>This policy is under the direct control of the HAL Corporate CIO with input from xx and other members of management with an interest in the program.</w:t>
      </w:r>
    </w:p>
    <w:p w:rsidR="004222A6" w:rsidRDefault="00BF6F2A">
      <w:pPr>
        <w:pStyle w:val="Heading1"/>
      </w:pPr>
      <w:r>
        <w:t>Policy</w:t>
      </w:r>
    </w:p>
    <w:p w:rsidR="004222A6" w:rsidRDefault="00BF6F2A">
      <w:pPr>
        <w:pStyle w:val="Heading2"/>
      </w:pPr>
      <w:r>
        <w:t>General Guidelines</w:t>
      </w:r>
    </w:p>
    <w:p w:rsidR="004222A6" w:rsidRDefault="00BF6F2A">
      <w:pPr>
        <w:pStyle w:val="PlainText"/>
        <w:jc w:val="both"/>
        <w:rPr>
          <w:rFonts w:asciiTheme="minorHAnsi" w:eastAsiaTheme="minorEastAsia" w:hAnsiTheme="minorHAnsi" w:cstheme="minorBidi"/>
          <w:sz w:val="22"/>
          <w:szCs w:val="22"/>
        </w:rPr>
      </w:pPr>
      <w:r>
        <w:rPr>
          <w:rFonts w:ascii="Times New Roman" w:eastAsia="MS Mincho" w:hAnsi="Times New Roman"/>
          <w:sz w:val="24"/>
          <w:szCs w:val="24"/>
        </w:rPr>
        <w:t>P</w:t>
      </w:r>
      <w:r>
        <w:rPr>
          <w:rFonts w:asciiTheme="minorHAnsi" w:eastAsiaTheme="minorEastAsia" w:hAnsiTheme="minorHAnsi" w:cstheme="minorBidi"/>
          <w:sz w:val="22"/>
          <w:szCs w:val="22"/>
        </w:rPr>
        <w:t xml:space="preserve">roven, standard algorithms such as DES, Blowfish, RSA, </w:t>
      </w:r>
      <w:r>
        <w:rPr>
          <w:rFonts w:asciiTheme="minorHAnsi" w:eastAsiaTheme="minorEastAsia" w:hAnsiTheme="minorHAnsi" w:cstheme="minorBidi"/>
          <w:sz w:val="22"/>
          <w:szCs w:val="22"/>
        </w:rPr>
        <w:t xml:space="preserve">RC5 and IDEA should be used as the basis for encryption technologies. These algorithms represent the actual cipher used for an approved application. For example, Network Associate's Pretty Good Privacy (PGP) uses a combination of IDEA and RSA or </w:t>
      </w:r>
      <w:proofErr w:type="spellStart"/>
      <w:r>
        <w:rPr>
          <w:rFonts w:asciiTheme="minorHAnsi" w:eastAsiaTheme="minorEastAsia" w:hAnsiTheme="minorHAnsi" w:cstheme="minorBidi"/>
          <w:sz w:val="22"/>
          <w:szCs w:val="22"/>
        </w:rPr>
        <w:t>Diffie</w:t>
      </w:r>
      <w:proofErr w:type="spellEnd"/>
      <w:r>
        <w:rPr>
          <w:rFonts w:asciiTheme="minorHAnsi" w:eastAsiaTheme="minorEastAsia" w:hAnsiTheme="minorHAnsi" w:cstheme="minorBidi"/>
          <w:sz w:val="22"/>
          <w:szCs w:val="22"/>
        </w:rPr>
        <w:t>-Hel</w:t>
      </w:r>
      <w:r>
        <w:rPr>
          <w:rFonts w:asciiTheme="minorHAnsi" w:eastAsiaTheme="minorEastAsia" w:hAnsiTheme="minorHAnsi" w:cstheme="minorBidi"/>
          <w:sz w:val="22"/>
          <w:szCs w:val="22"/>
        </w:rPr>
        <w:t>lman, while Secure Socket Layer (SSL) uses RSA encryption. Symmetric cryptosystem key lengths must be at least 56 bits. Asymmetric crypto-system keys must be of a length that yields equivalent strength. HAL’s key length requirements will be reviewed annual</w:t>
      </w:r>
      <w:r>
        <w:rPr>
          <w:rFonts w:asciiTheme="minorHAnsi" w:eastAsiaTheme="minorEastAsia" w:hAnsiTheme="minorHAnsi" w:cstheme="minorBidi"/>
          <w:sz w:val="22"/>
          <w:szCs w:val="22"/>
        </w:rPr>
        <w:t>ly and upgraded as technology allows.</w:t>
      </w:r>
    </w:p>
    <w:p w:rsidR="004222A6" w:rsidRDefault="004222A6">
      <w:pPr>
        <w:pStyle w:val="PlainText"/>
        <w:jc w:val="both"/>
        <w:rPr>
          <w:rFonts w:ascii="Times New Roman" w:eastAsia="MS Mincho" w:hAnsi="Times New Roman"/>
          <w:sz w:val="24"/>
          <w:szCs w:val="24"/>
        </w:rPr>
      </w:pPr>
    </w:p>
    <w:p w:rsidR="004222A6" w:rsidRDefault="00BF6F2A">
      <w:r>
        <w:t>The use of proprietary encryption algorithms is not allowed for any purpose, unless reviewed by qualified experts outside of the vendor in question and approved by InfoSec. Be aware that the export of encryption technologies is restricted by the U.S. Gover</w:t>
      </w:r>
      <w:r>
        <w:t xml:space="preserve">nment. Residents of countries other than the </w:t>
      </w:r>
      <w:smartTag w:uri="urn:schemas-microsoft-com:office:smarttags" w:element="country-region">
        <w:smartTag w:uri="urn:schemas-microsoft-com:office:smarttags" w:element="place">
          <w:r>
            <w:t>United States</w:t>
          </w:r>
        </w:smartTag>
      </w:smartTag>
      <w:r>
        <w:t xml:space="preserve"> should make themselves aware of the encryption technology laws of the country in which they reside.</w:t>
      </w:r>
    </w:p>
    <w:bookmarkEnd w:id="7"/>
    <w:p w:rsidR="004222A6" w:rsidRDefault="00BF6F2A">
      <w:pPr>
        <w:pStyle w:val="Heading1"/>
      </w:pPr>
      <w:r>
        <w:t>Enforcement</w:t>
      </w:r>
    </w:p>
    <w:p w:rsidR="004222A6" w:rsidRDefault="00BF6F2A">
      <w:r>
        <w:t>Any employee found to be in violation this policy may be subject to disciplinary acti</w:t>
      </w:r>
      <w:r>
        <w:t>on, up to and including termination of employment.</w:t>
      </w:r>
    </w:p>
    <w:p w:rsidR="004222A6" w:rsidRDefault="004222A6"/>
    <w:p w:rsidR="004222A6" w:rsidRDefault="00BF6F2A">
      <w:p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NOTE: As part of the SECCDC event, infractions of the rules regarding this policy may result in a point penalty. </w:t>
      </w:r>
    </w:p>
    <w:sectPr w:rsidR="004222A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6F2A" w:rsidRDefault="00BF6F2A">
      <w:pPr>
        <w:spacing w:after="0" w:line="240" w:lineRule="auto"/>
      </w:pPr>
      <w:r>
        <w:separator/>
      </w:r>
    </w:p>
  </w:endnote>
  <w:endnote w:type="continuationSeparator" w:id="0">
    <w:p w:rsidR="00BF6F2A" w:rsidRDefault="00BF6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4222A6">
      <w:tc>
        <w:tcPr>
          <w:tcW w:w="918" w:type="dxa"/>
        </w:tcPr>
        <w:p w:rsidR="004222A6" w:rsidRDefault="00BF6F2A">
          <w:pPr>
            <w:pStyle w:val="Footer"/>
            <w:jc w:val="right"/>
            <w:rPr>
              <w:b/>
              <w:color w:val="4F81BD" w:themeColor="accent1"/>
              <w:sz w:val="32"/>
              <w:szCs w:val="32"/>
            </w:rPr>
          </w:pPr>
          <w:r>
            <w:fldChar w:fldCharType="begin"/>
          </w:r>
          <w:r>
            <w:instrText xml:space="preserve"> PAGE   \* MERGEFORMAT </w:instrText>
          </w:r>
          <w:r>
            <w:fldChar w:fldCharType="separate"/>
          </w:r>
          <w:r w:rsidR="002A3DFB" w:rsidRPr="002A3DFB">
            <w:rPr>
              <w:b/>
              <w:noProof/>
              <w:color w:val="4F81BD" w:themeColor="accent1"/>
              <w:sz w:val="32"/>
              <w:szCs w:val="32"/>
            </w:rPr>
            <w:t>2</w:t>
          </w:r>
          <w:r>
            <w:rPr>
              <w:b/>
              <w:noProof/>
              <w:color w:val="4F81BD" w:themeColor="accent1"/>
              <w:sz w:val="32"/>
              <w:szCs w:val="32"/>
            </w:rPr>
            <w:fldChar w:fldCharType="end"/>
          </w:r>
        </w:p>
      </w:tc>
      <w:tc>
        <w:tcPr>
          <w:tcW w:w="7938" w:type="dxa"/>
        </w:tcPr>
        <w:p w:rsidR="004222A6" w:rsidRDefault="00BF6F2A">
          <w:pPr>
            <w:pStyle w:val="Footer"/>
          </w:pPr>
          <w:r>
            <w:t>Encryption Use Policy</w:t>
          </w:r>
        </w:p>
      </w:tc>
    </w:tr>
  </w:tbl>
  <w:p w:rsidR="004222A6" w:rsidRDefault="004222A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6F2A" w:rsidRDefault="00BF6F2A">
      <w:pPr>
        <w:spacing w:after="0" w:line="240" w:lineRule="auto"/>
      </w:pPr>
      <w:r>
        <w:separator/>
      </w:r>
    </w:p>
  </w:footnote>
  <w:footnote w:type="continuationSeparator" w:id="0">
    <w:p w:rsidR="00BF6F2A" w:rsidRDefault="00BF6F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4697"/>
      <w:gridCol w:w="4663"/>
    </w:tblGrid>
    <w:tr w:rsidR="004222A6">
      <w:trPr>
        <w:trHeight w:val="288"/>
      </w:trPr>
      <w:tc>
        <w:tcPr>
          <w:tcW w:w="4795" w:type="dxa"/>
          <w:vAlign w:val="center"/>
        </w:tcPr>
        <w:p w:rsidR="004222A6" w:rsidRDefault="00BF6F2A">
          <w:pPr>
            <w:pStyle w:val="Header"/>
            <w:jc w:val="center"/>
            <w:rPr>
              <w:rFonts w:asciiTheme="majorHAnsi" w:eastAsiaTheme="majorEastAsia" w:hAnsiTheme="majorHAnsi" w:cstheme="majorBidi"/>
              <w:sz w:val="36"/>
              <w:szCs w:val="36"/>
            </w:rPr>
          </w:pPr>
          <w:r>
            <w:rPr>
              <w:noProof/>
            </w:rPr>
            <w:drawing>
              <wp:inline distT="0" distB="0" distL="0" distR="0">
                <wp:extent cx="1591945" cy="1127125"/>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91945" cy="1127125"/>
                        </a:xfrm>
                        <a:prstGeom prst="rect">
                          <a:avLst/>
                        </a:prstGeom>
                      </pic:spPr>
                    </pic:pic>
                  </a:graphicData>
                </a:graphic>
              </wp:inline>
            </w:drawing>
          </w:r>
        </w:p>
      </w:tc>
      <w:tc>
        <w:tcPr>
          <w:tcW w:w="4795" w:type="dxa"/>
          <w:vAlign w:val="center"/>
        </w:tcPr>
        <w:p w:rsidR="004222A6" w:rsidRDefault="00BF6F2A">
          <w:pPr>
            <w:pStyle w:val="Header"/>
            <w:jc w:val="center"/>
            <w:rPr>
              <w:rFonts w:asciiTheme="majorHAnsi" w:eastAsiaTheme="majorEastAsia" w:hAnsiTheme="majorHAnsi" w:cstheme="majorBidi"/>
              <w:b/>
              <w:bCs/>
              <w:color w:val="4F81BD" w:themeColor="accent1"/>
              <w:sz w:val="36"/>
              <w:szCs w:val="36"/>
            </w:rPr>
          </w:pPr>
          <w:r>
            <w:rPr>
              <w:b/>
              <w:sz w:val="24"/>
            </w:rPr>
            <w:t>HAL Policy</w:t>
          </w:r>
          <w:r>
            <w:rPr>
              <w:b/>
              <w:sz w:val="24"/>
            </w:rPr>
            <w:br/>
            <w:t xml:space="preserve">Issue </w:t>
          </w:r>
          <w:r>
            <w:rPr>
              <w:b/>
              <w:sz w:val="24"/>
            </w:rPr>
            <w:t>Specific Policy</w:t>
          </w:r>
          <w:r>
            <w:rPr>
              <w:b/>
              <w:sz w:val="24"/>
            </w:rPr>
            <w:br/>
          </w:r>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r>
                <w:rPr>
                  <w:rFonts w:asciiTheme="majorHAnsi" w:eastAsiaTheme="majorEastAsia" w:hAnsiTheme="majorHAnsi" w:cstheme="majorBidi"/>
                  <w:b/>
                  <w:bCs/>
                  <w:color w:val="4F81BD" w:themeColor="accent1"/>
                  <w:sz w:val="36"/>
                  <w:szCs w:val="36"/>
                </w:rPr>
                <w:t>Use of Encryption</w:t>
              </w:r>
            </w:sdtContent>
          </w:sdt>
          <w:r>
            <w:rPr>
              <w:rFonts w:asciiTheme="majorHAnsi" w:eastAsiaTheme="majorEastAsia" w:hAnsiTheme="majorHAnsi" w:cstheme="majorBidi"/>
              <w:b/>
              <w:bCs/>
              <w:color w:val="4F81BD" w:themeColor="accent1"/>
              <w:sz w:val="36"/>
              <w:szCs w:val="36"/>
            </w:rPr>
            <w:t xml:space="preserve"> </w:t>
          </w:r>
        </w:p>
      </w:tc>
    </w:tr>
  </w:tbl>
  <w:p w:rsidR="004222A6" w:rsidRDefault="004222A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56C5A"/>
    <w:multiLevelType w:val="hybridMultilevel"/>
    <w:tmpl w:val="1304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12EF6"/>
    <w:multiLevelType w:val="hybridMultilevel"/>
    <w:tmpl w:val="AE429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F03BA2"/>
    <w:multiLevelType w:val="hybridMultilevel"/>
    <w:tmpl w:val="E88E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81BA0"/>
    <w:multiLevelType w:val="multilevel"/>
    <w:tmpl w:val="8DECFD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FA62C68"/>
    <w:multiLevelType w:val="multilevel"/>
    <w:tmpl w:val="F216FF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6180272"/>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6ACB35B2"/>
    <w:multiLevelType w:val="hybridMultilevel"/>
    <w:tmpl w:val="8B22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4828A7"/>
    <w:multiLevelType w:val="multilevel"/>
    <w:tmpl w:val="A198B9F8"/>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79E0618F"/>
    <w:multiLevelType w:val="hybridMultilevel"/>
    <w:tmpl w:val="CA721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7"/>
  </w:num>
  <w:num w:numId="5">
    <w:abstractNumId w:val="5"/>
  </w:num>
  <w:num w:numId="6">
    <w:abstractNumId w:val="1"/>
  </w:num>
  <w:num w:numId="7">
    <w:abstractNumId w:val="2"/>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2A6"/>
    <w:rsid w:val="002A3DFB"/>
    <w:rsid w:val="004222A6"/>
    <w:rsid w:val="00BF6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0B2FD9B7"/>
  <w15:docId w15:val="{382B1A7C-279D-48C2-9FA3-60ACA8FD5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pPr>
      <w:outlineLvl w:val="9"/>
    </w:p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styleId="Hyperlink">
    <w:name w:val="Hyperlink"/>
    <w:basedOn w:val="DefaultParagraphFont"/>
    <w:uiPriority w:val="99"/>
    <w:unhideWhenUsed/>
    <w:rPr>
      <w:color w:val="0000FF" w:themeColor="hyperlink"/>
      <w:u w:val="single"/>
    </w:rPr>
  </w:style>
  <w:style w:type="paragraph" w:styleId="PlainText">
    <w:name w:val="Plain Text"/>
    <w:basedOn w:val="Normal"/>
    <w:link w:val="PlainTextChar"/>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Active\_DropBoxFolders\My%20Dropbox\SECCDC\2012\Policy%20Work\Change_Control_Polic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Use of Encryption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C70940-BA85-4ADB-BDA8-E65540830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Change_Control_Policy.dotx</Template>
  <TotalTime>13</TotalTime>
  <Pages>2</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Hierarchical Access Limited</vt:lpstr>
    </vt:vector>
  </TitlesOfParts>
  <Company>Microsoft</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Hierarchical Access Limited</dc:title>
  <dc:creator>Herbert Mattord</dc:creator>
  <cp:lastModifiedBy>Michael Whitman</cp:lastModifiedBy>
  <cp:revision>7</cp:revision>
  <dcterms:created xsi:type="dcterms:W3CDTF">2015-02-14T05:37:00Z</dcterms:created>
  <dcterms:modified xsi:type="dcterms:W3CDTF">2019-01-30T21:37:00Z</dcterms:modified>
</cp:coreProperties>
</file>