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7279" w:rsidRDefault="00A76407">
      <w:pPr>
        <w:pStyle w:val="Heading1"/>
      </w:pPr>
      <w:r>
        <w:t>Document Control</w:t>
      </w:r>
    </w:p>
    <w:p w:rsidR="006B7279" w:rsidRDefault="00A76407">
      <w:pPr>
        <w:pStyle w:val="Heading2"/>
      </w:pPr>
      <w:bookmarkStart w:id="0" w:name="_Toc301210961"/>
      <w:bookmarkStart w:id="1" w:name="_Toc314856913"/>
      <w:r>
        <w:t>Versioning</w:t>
      </w:r>
      <w:bookmarkEnd w:id="0"/>
      <w:bookmarkEnd w:id="1"/>
      <w:r>
        <w:t xml:space="preserve"> </w:t>
      </w:r>
    </w:p>
    <w:tbl>
      <w:tblPr>
        <w:tblStyle w:val="TableGrid"/>
        <w:tblW w:w="0" w:type="auto"/>
        <w:tblLook w:val="04A0" w:firstRow="1" w:lastRow="0" w:firstColumn="1" w:lastColumn="0" w:noHBand="0" w:noVBand="1"/>
      </w:tblPr>
      <w:tblGrid>
        <w:gridCol w:w="3112"/>
        <w:gridCol w:w="3116"/>
        <w:gridCol w:w="3122"/>
      </w:tblGrid>
      <w:tr w:rsidR="006B7279">
        <w:tc>
          <w:tcPr>
            <w:tcW w:w="3192" w:type="dxa"/>
            <w:shd w:val="clear" w:color="auto" w:fill="BFBFBF" w:themeFill="background1" w:themeFillShade="BF"/>
          </w:tcPr>
          <w:p w:rsidR="006B7279" w:rsidRDefault="00A76407">
            <w:pPr>
              <w:rPr>
                <w:b/>
              </w:rPr>
            </w:pPr>
            <w:r>
              <w:rPr>
                <w:b/>
              </w:rPr>
              <w:t>Name</w:t>
            </w:r>
          </w:p>
        </w:tc>
        <w:tc>
          <w:tcPr>
            <w:tcW w:w="3192" w:type="dxa"/>
            <w:shd w:val="clear" w:color="auto" w:fill="BFBFBF" w:themeFill="background1" w:themeFillShade="BF"/>
          </w:tcPr>
          <w:p w:rsidR="006B7279" w:rsidRDefault="00A76407">
            <w:pPr>
              <w:rPr>
                <w:b/>
              </w:rPr>
            </w:pPr>
            <w:r>
              <w:rPr>
                <w:b/>
              </w:rPr>
              <w:t>Date</w:t>
            </w:r>
          </w:p>
        </w:tc>
        <w:tc>
          <w:tcPr>
            <w:tcW w:w="3192" w:type="dxa"/>
            <w:shd w:val="clear" w:color="auto" w:fill="BFBFBF" w:themeFill="background1" w:themeFillShade="BF"/>
          </w:tcPr>
          <w:p w:rsidR="006B7279" w:rsidRDefault="00A76407">
            <w:pPr>
              <w:rPr>
                <w:b/>
              </w:rPr>
            </w:pPr>
            <w:r>
              <w:rPr>
                <w:b/>
              </w:rPr>
              <w:t>Reason</w:t>
            </w:r>
          </w:p>
        </w:tc>
      </w:tr>
      <w:tr w:rsidR="006B7279">
        <w:tc>
          <w:tcPr>
            <w:tcW w:w="3192" w:type="dxa"/>
          </w:tcPr>
          <w:p w:rsidR="006B7279" w:rsidRDefault="00A76407">
            <w:r>
              <w:t>Version 1</w:t>
            </w:r>
          </w:p>
        </w:tc>
        <w:tc>
          <w:tcPr>
            <w:tcW w:w="3192" w:type="dxa"/>
          </w:tcPr>
          <w:p w:rsidR="006B7279" w:rsidRDefault="00C50563">
            <w:r>
              <w:t>February 1, 2019</w:t>
            </w:r>
          </w:p>
        </w:tc>
        <w:tc>
          <w:tcPr>
            <w:tcW w:w="3192" w:type="dxa"/>
          </w:tcPr>
          <w:p w:rsidR="006B7279" w:rsidRDefault="00A76407">
            <w:r>
              <w:t>Placed into production</w:t>
            </w:r>
          </w:p>
        </w:tc>
      </w:tr>
    </w:tbl>
    <w:p w:rsidR="006B7279" w:rsidRDefault="00A76407">
      <w:pPr>
        <w:pStyle w:val="Heading2"/>
      </w:pPr>
      <w:bookmarkStart w:id="2" w:name="_Toc301210962"/>
      <w:bookmarkStart w:id="3" w:name="_Toc314856914"/>
      <w:r>
        <w:t>Applicable Parties</w:t>
      </w:r>
      <w:bookmarkEnd w:id="2"/>
      <w:bookmarkEnd w:id="3"/>
    </w:p>
    <w:p w:rsidR="006B7279" w:rsidRDefault="00A76407">
      <w:r>
        <w:t>This document is strictly confidential and should only be distributed or viewed by the following parties:</w:t>
      </w:r>
    </w:p>
    <w:p w:rsidR="006B7279" w:rsidRDefault="00A76407">
      <w:pPr>
        <w:pStyle w:val="ListParagraph"/>
        <w:numPr>
          <w:ilvl w:val="0"/>
          <w:numId w:val="1"/>
        </w:numPr>
      </w:pPr>
      <w:r>
        <w:t>HAL Designated Associates</w:t>
      </w:r>
    </w:p>
    <w:p w:rsidR="006B7279" w:rsidRDefault="00A76407">
      <w:pPr>
        <w:pStyle w:val="ListParagraph"/>
        <w:numPr>
          <w:ilvl w:val="0"/>
          <w:numId w:val="1"/>
        </w:numPr>
      </w:pPr>
      <w:r>
        <w:t xml:space="preserve">HAL </w:t>
      </w:r>
      <w:r>
        <w:t>Regional Employees (Compartmented to the Division)</w:t>
      </w:r>
    </w:p>
    <w:p w:rsidR="006B7279" w:rsidRDefault="00A76407">
      <w:pPr>
        <w:pStyle w:val="ListParagraph"/>
        <w:numPr>
          <w:ilvl w:val="0"/>
          <w:numId w:val="1"/>
        </w:numPr>
      </w:pPr>
      <w:r>
        <w:t>HAL Management Team</w:t>
      </w:r>
    </w:p>
    <w:p w:rsidR="006B7279" w:rsidRDefault="00A76407">
      <w:pPr>
        <w:pStyle w:val="ListParagraph"/>
        <w:numPr>
          <w:ilvl w:val="0"/>
          <w:numId w:val="1"/>
        </w:numPr>
      </w:pPr>
      <w:r>
        <w:t>HAL Auditing Team</w:t>
      </w:r>
    </w:p>
    <w:p w:rsidR="006B7279" w:rsidRDefault="00A76407">
      <w:pPr>
        <w:pStyle w:val="Heading2"/>
      </w:pPr>
      <w:bookmarkStart w:id="4" w:name="_Toc314856915"/>
      <w:r>
        <w:t>Review Period</w:t>
      </w:r>
      <w:bookmarkEnd w:id="4"/>
    </w:p>
    <w:p w:rsidR="006B7279" w:rsidRDefault="00A76407">
      <w:r>
        <w:t>This document is subject to review by the Information Secu</w:t>
      </w:r>
      <w:bookmarkStart w:id="5" w:name="_GoBack"/>
      <w:bookmarkEnd w:id="5"/>
      <w:r>
        <w:t xml:space="preserve">rity Policy Committee (ISPC) at a minimum interval of quarterly (every 3 months) at a maximum </w:t>
      </w:r>
      <w:r>
        <w:t>interval of bi-annually (every 6 months).</w:t>
      </w:r>
    </w:p>
    <w:p w:rsidR="006B7279" w:rsidRDefault="00A76407">
      <w:pPr>
        <w:pStyle w:val="Heading3"/>
      </w:pPr>
      <w:bookmarkStart w:id="6" w:name="_Toc314856916"/>
      <w:r>
        <w:t>Previous Reviews</w:t>
      </w:r>
      <w:bookmarkEnd w:id="6"/>
      <w:r>
        <w:br/>
      </w:r>
    </w:p>
    <w:tbl>
      <w:tblPr>
        <w:tblStyle w:val="TableGrid"/>
        <w:tblW w:w="0" w:type="auto"/>
        <w:tblLook w:val="04A0" w:firstRow="1" w:lastRow="0" w:firstColumn="1" w:lastColumn="0" w:noHBand="0" w:noVBand="1"/>
      </w:tblPr>
      <w:tblGrid>
        <w:gridCol w:w="3118"/>
        <w:gridCol w:w="3116"/>
        <w:gridCol w:w="3116"/>
      </w:tblGrid>
      <w:tr w:rsidR="006B7279">
        <w:tc>
          <w:tcPr>
            <w:tcW w:w="3192" w:type="dxa"/>
            <w:shd w:val="clear" w:color="auto" w:fill="BFBFBF" w:themeFill="background1" w:themeFillShade="BF"/>
          </w:tcPr>
          <w:p w:rsidR="006B7279" w:rsidRDefault="00A76407">
            <w:pPr>
              <w:rPr>
                <w:b/>
              </w:rPr>
            </w:pPr>
            <w:r>
              <w:rPr>
                <w:b/>
              </w:rPr>
              <w:t>Committee</w:t>
            </w:r>
          </w:p>
        </w:tc>
        <w:tc>
          <w:tcPr>
            <w:tcW w:w="3192" w:type="dxa"/>
            <w:shd w:val="clear" w:color="auto" w:fill="BFBFBF" w:themeFill="background1" w:themeFillShade="BF"/>
          </w:tcPr>
          <w:p w:rsidR="006B7279" w:rsidRDefault="00A76407">
            <w:pPr>
              <w:rPr>
                <w:b/>
              </w:rPr>
            </w:pPr>
            <w:r>
              <w:rPr>
                <w:b/>
              </w:rPr>
              <w:t>Review Date</w:t>
            </w:r>
          </w:p>
        </w:tc>
        <w:tc>
          <w:tcPr>
            <w:tcW w:w="3192" w:type="dxa"/>
            <w:shd w:val="clear" w:color="auto" w:fill="BFBFBF" w:themeFill="background1" w:themeFillShade="BF"/>
          </w:tcPr>
          <w:p w:rsidR="006B7279" w:rsidRDefault="00A76407">
            <w:pPr>
              <w:rPr>
                <w:b/>
              </w:rPr>
            </w:pPr>
            <w:r>
              <w:rPr>
                <w:b/>
              </w:rPr>
              <w:t>Approval Date</w:t>
            </w:r>
          </w:p>
        </w:tc>
      </w:tr>
      <w:tr w:rsidR="006B7279">
        <w:tc>
          <w:tcPr>
            <w:tcW w:w="3192" w:type="dxa"/>
          </w:tcPr>
          <w:p w:rsidR="006B7279" w:rsidRDefault="00A76407">
            <w:r>
              <w:t>ISPC</w:t>
            </w:r>
          </w:p>
        </w:tc>
        <w:tc>
          <w:tcPr>
            <w:tcW w:w="3192" w:type="dxa"/>
          </w:tcPr>
          <w:p w:rsidR="006B7279" w:rsidRDefault="00C50563">
            <w:r>
              <w:t>7/15/2018</w:t>
            </w:r>
          </w:p>
        </w:tc>
        <w:tc>
          <w:tcPr>
            <w:tcW w:w="3192" w:type="dxa"/>
          </w:tcPr>
          <w:p w:rsidR="006B7279" w:rsidRDefault="00C50563">
            <w:r>
              <w:t>8/1/2018</w:t>
            </w:r>
          </w:p>
        </w:tc>
      </w:tr>
      <w:tr w:rsidR="006B7279">
        <w:tc>
          <w:tcPr>
            <w:tcW w:w="3192" w:type="dxa"/>
          </w:tcPr>
          <w:p w:rsidR="006B7279" w:rsidRDefault="00A76407">
            <w:r>
              <w:t>CEO</w:t>
            </w:r>
          </w:p>
        </w:tc>
        <w:tc>
          <w:tcPr>
            <w:tcW w:w="3192" w:type="dxa"/>
          </w:tcPr>
          <w:p w:rsidR="006B7279" w:rsidRDefault="00C50563">
            <w:r>
              <w:t>1/21/2019</w:t>
            </w:r>
          </w:p>
        </w:tc>
        <w:tc>
          <w:tcPr>
            <w:tcW w:w="3192" w:type="dxa"/>
          </w:tcPr>
          <w:p w:rsidR="006B7279" w:rsidRDefault="00C50563">
            <w:r>
              <w:t>1/22/2019</w:t>
            </w:r>
          </w:p>
        </w:tc>
      </w:tr>
      <w:tr w:rsidR="006B7279">
        <w:tc>
          <w:tcPr>
            <w:tcW w:w="3192" w:type="dxa"/>
          </w:tcPr>
          <w:p w:rsidR="006B7279" w:rsidRDefault="00A76407">
            <w:r>
              <w:t>Corporate CIO</w:t>
            </w:r>
          </w:p>
        </w:tc>
        <w:tc>
          <w:tcPr>
            <w:tcW w:w="3192" w:type="dxa"/>
          </w:tcPr>
          <w:p w:rsidR="006B7279" w:rsidRDefault="00C50563">
            <w:r>
              <w:t>1/23/2019</w:t>
            </w:r>
          </w:p>
        </w:tc>
        <w:tc>
          <w:tcPr>
            <w:tcW w:w="3192" w:type="dxa"/>
          </w:tcPr>
          <w:p w:rsidR="006B7279" w:rsidRDefault="00C50563">
            <w:r>
              <w:t>1/23/2019</w:t>
            </w:r>
          </w:p>
        </w:tc>
      </w:tr>
    </w:tbl>
    <w:p w:rsidR="006B7279" w:rsidRDefault="00A76407">
      <w:pPr>
        <w:pStyle w:val="Heading1"/>
      </w:pPr>
      <w:bookmarkStart w:id="7" w:name="_Toc314856917"/>
      <w:r>
        <w:t>Purpose</w:t>
      </w:r>
    </w:p>
    <w:p w:rsidR="006B7279" w:rsidRDefault="00A76407">
      <w:pPr>
        <w:pStyle w:val="PlainText"/>
        <w:jc w:val="both"/>
        <w:rPr>
          <w:rFonts w:ascii="Times New Roman" w:eastAsia="MS Mincho" w:hAnsi="Times New Roman" w:cs="Times New Roman"/>
          <w:sz w:val="24"/>
          <w:szCs w:val="24"/>
        </w:rPr>
      </w:pPr>
      <w:r>
        <w:rPr>
          <w:rFonts w:ascii="Times New Roman" w:eastAsia="MS Mincho" w:hAnsi="Times New Roman" w:cs="Times New Roman"/>
          <w:sz w:val="24"/>
          <w:szCs w:val="24"/>
        </w:rPr>
        <w:t>This policy establishes information security requirements for all networks and equipment deployed in HAL located on the "De-Militarized Zone" (DMZ). Adherence to these requirements will minimize the potential risk to HAL from the damage to public image cau</w:t>
      </w:r>
      <w:r>
        <w:rPr>
          <w:rFonts w:ascii="Times New Roman" w:eastAsia="MS Mincho" w:hAnsi="Times New Roman" w:cs="Times New Roman"/>
          <w:sz w:val="24"/>
          <w:szCs w:val="24"/>
        </w:rPr>
        <w:t xml:space="preserve">sed by unauthorized use of HAL resources, and the loss of sensitive/company confidential data and intellectual property. </w:t>
      </w:r>
    </w:p>
    <w:p w:rsidR="006B7279" w:rsidRDefault="00A76407">
      <w:pPr>
        <w:pStyle w:val="Heading1"/>
      </w:pPr>
      <w:r>
        <w:t>Scope</w:t>
      </w:r>
    </w:p>
    <w:p w:rsidR="006B7279" w:rsidRDefault="00A76407">
      <w:pPr>
        <w:pStyle w:val="Heading2"/>
      </w:pPr>
      <w:r>
        <w:t>Applicability</w:t>
      </w:r>
    </w:p>
    <w:p w:rsidR="006B7279" w:rsidRDefault="00A76407">
      <w:r>
        <w:t>HAL networks and devices (including but not limited to routers, switches, hosts, etc.) that are Internet facing an</w:t>
      </w:r>
      <w:r>
        <w:t xml:space="preserve">d located outside HAL corporate Internet firewalls are considered part of the DMZ and are </w:t>
      </w:r>
      <w:r>
        <w:lastRenderedPageBreak/>
        <w:t>subject to this policy. This includes DMZ equipment in primary Internet Service Provider (ISP) locations and remote locations. All existing and future equipment, whic</w:t>
      </w:r>
      <w:r>
        <w:t>h falls under the scope of this policy, must be configured according to the referenced documents. This policy does not apply to equipment residing inside HAL's corporate Internet firewalls. Standards for this equipment is defined in the Internal Security P</w:t>
      </w:r>
      <w:r>
        <w:t xml:space="preserve">olicy </w:t>
      </w:r>
    </w:p>
    <w:p w:rsidR="006B7279" w:rsidRDefault="00A76407">
      <w:pPr>
        <w:pStyle w:val="Heading2"/>
      </w:pPr>
      <w:r>
        <w:t>Ownership</w:t>
      </w:r>
    </w:p>
    <w:p w:rsidR="006B7279" w:rsidRDefault="00A76407">
      <w:r>
        <w:t>This policy is under the direct control of the HAL Corporate CIO with input from other members of management with an interest in the program.</w:t>
      </w:r>
    </w:p>
    <w:p w:rsidR="006B7279" w:rsidRDefault="00A76407">
      <w:pPr>
        <w:pStyle w:val="Heading1"/>
      </w:pPr>
      <w:r>
        <w:t>Policy</w:t>
      </w:r>
    </w:p>
    <w:bookmarkEnd w:id="7"/>
    <w:p w:rsidR="006B7279" w:rsidRDefault="00A76407">
      <w:pPr>
        <w:pStyle w:val="Heading2"/>
      </w:pPr>
      <w:r>
        <w:t>Ownership and Responsibilities</w:t>
      </w:r>
    </w:p>
    <w:p w:rsidR="006B7279" w:rsidRDefault="00A76407">
      <w:r>
        <w:t>All new DMZ equipment must accompany a business justificati</w:t>
      </w:r>
      <w:r>
        <w:t xml:space="preserve">on with sign-off at the business unit Vice President level. InfoSec must keep the business justifications on file. </w:t>
      </w:r>
    </w:p>
    <w:p w:rsidR="006B7279" w:rsidRDefault="00A76407">
      <w:r>
        <w:t>Departments are responsible for assigning managers, point of contact (POC), and back up POC, for each department and must maintain up to dat</w:t>
      </w:r>
      <w:r>
        <w:t xml:space="preserve">e POC information with InfoSec [and the corporate enterprise management system, if one exists]. Managers or their backup must be available around-the-clock for emergencies. </w:t>
      </w:r>
    </w:p>
    <w:p w:rsidR="006B7279" w:rsidRDefault="00A76407">
      <w:r>
        <w:t>Changes to the connectivity and/or purpose of existing DMZ equipment and establish</w:t>
      </w:r>
      <w:r>
        <w:t xml:space="preserve">ment of new DMZ equipment connectivity must be requested through a HAL Network Support Organization and approved by InfoSec. </w:t>
      </w:r>
    </w:p>
    <w:p w:rsidR="006B7279" w:rsidRDefault="00A76407">
      <w:r>
        <w:t xml:space="preserve">All ISP connections must be maintained by a HAL Network Support Organization. </w:t>
      </w:r>
    </w:p>
    <w:p w:rsidR="006B7279" w:rsidRDefault="00A76407">
      <w:r>
        <w:t>A Network Support Organization must maintain a fire</w:t>
      </w:r>
      <w:r>
        <w:t>wall device between the DMZ and the Internet.</w:t>
      </w:r>
    </w:p>
    <w:p w:rsidR="006B7279" w:rsidRDefault="00A76407">
      <w:r>
        <w:t xml:space="preserve">The Network Support Organization and InfoSec reserve the right to interrupt device connections if a security concern exists. </w:t>
      </w:r>
    </w:p>
    <w:p w:rsidR="006B7279" w:rsidRDefault="00A76407">
      <w:r>
        <w:t xml:space="preserve">The Departments will provide and maintain network devices deployed in the DMZ up to the Network Support Organization point of demarcation. </w:t>
      </w:r>
    </w:p>
    <w:p w:rsidR="006B7279" w:rsidRDefault="00A76407">
      <w:r>
        <w:t>The Network Support Organization must record all DMZ equipment address spaces and current contact information [in th</w:t>
      </w:r>
      <w:r>
        <w:t>e corporate enterprise management system, if one exists].</w:t>
      </w:r>
    </w:p>
    <w:p w:rsidR="006B7279" w:rsidRDefault="00A76407">
      <w:r>
        <w:t xml:space="preserve">The Department Managers are ultimately responsible for their organizations complying with this policy. </w:t>
      </w:r>
    </w:p>
    <w:p w:rsidR="006B7279" w:rsidRDefault="00A76407">
      <w:r>
        <w:lastRenderedPageBreak/>
        <w:t>Immediate access to equipment and system logs must be granted to members of InfoSec and the Ne</w:t>
      </w:r>
      <w:r>
        <w:t xml:space="preserve">twork Support Organization upon request, in accordance with the Audit Policy </w:t>
      </w:r>
    </w:p>
    <w:p w:rsidR="006B7279" w:rsidRDefault="00A76407">
      <w:r>
        <w:t>Individual accounts must be disabled within three (3) days when access is no longer authorized. Group account passwords must comply with the Password Policy and must be changed w</w:t>
      </w:r>
      <w:r>
        <w:t xml:space="preserve">ithin three (3) days from a change in the group membership. </w:t>
      </w:r>
    </w:p>
    <w:p w:rsidR="006B7279" w:rsidRDefault="00A76407">
      <w:r>
        <w:t xml:space="preserve">InfoSec will address non-compliance waiver requests on a case-by-case basis. </w:t>
      </w:r>
    </w:p>
    <w:p w:rsidR="006B7279" w:rsidRDefault="00A76407">
      <w:pPr>
        <w:pStyle w:val="Heading2"/>
      </w:pPr>
      <w:r>
        <w:t>General Configuration Requirements</w:t>
      </w:r>
    </w:p>
    <w:p w:rsidR="006B7279" w:rsidRDefault="00A76407">
      <w:r>
        <w:t xml:space="preserve">Production resources must not depend upon resources on the DMZ networks. </w:t>
      </w:r>
    </w:p>
    <w:p w:rsidR="006B7279" w:rsidRDefault="00A76407">
      <w:r>
        <w:t xml:space="preserve">DMZ equipment must not be connected to HAL's corporate internal networks, either directly or via a wireless connection. </w:t>
      </w:r>
    </w:p>
    <w:p w:rsidR="006B7279" w:rsidRDefault="00A76407">
      <w:r>
        <w:t>DMZ equipment should be in a physically separate room from any internal networks. If this is not possible, the equipment must be in a l</w:t>
      </w:r>
      <w:r>
        <w:t xml:space="preserve">ocked rack with limited access. In addition, the Department Manager must maintain a list of who has access to the equipment. </w:t>
      </w:r>
    </w:p>
    <w:p w:rsidR="006B7279" w:rsidRDefault="00A76407">
      <w:r>
        <w:t>Department Managers are responsible for complying with the following related policies:</w:t>
      </w:r>
    </w:p>
    <w:p w:rsidR="006B7279" w:rsidRDefault="00A76407">
      <w:pPr>
        <w:pStyle w:val="ListParagraph"/>
        <w:numPr>
          <w:ilvl w:val="0"/>
          <w:numId w:val="12"/>
        </w:numPr>
      </w:pPr>
      <w:r>
        <w:t xml:space="preserve">Password Policy </w:t>
      </w:r>
    </w:p>
    <w:p w:rsidR="006B7279" w:rsidRDefault="00A76407">
      <w:pPr>
        <w:pStyle w:val="ListParagraph"/>
        <w:numPr>
          <w:ilvl w:val="0"/>
          <w:numId w:val="12"/>
        </w:numPr>
      </w:pPr>
      <w:r>
        <w:t>Wireless Communications Po</w:t>
      </w:r>
      <w:r>
        <w:t xml:space="preserve">licy </w:t>
      </w:r>
    </w:p>
    <w:p w:rsidR="006B7279" w:rsidRDefault="00A76407">
      <w:pPr>
        <w:pStyle w:val="ListParagraph"/>
        <w:numPr>
          <w:ilvl w:val="0"/>
          <w:numId w:val="12"/>
        </w:numPr>
      </w:pPr>
      <w:r>
        <w:t xml:space="preserve">Anti-Virus Policy </w:t>
      </w:r>
    </w:p>
    <w:p w:rsidR="006B7279" w:rsidRDefault="00A76407">
      <w:r>
        <w:t xml:space="preserve">The Network Support Organization maintained firewall devices must be configured in accordance with least-access principles and the department business needs. All firewall filters will be maintained by InfoSec. </w:t>
      </w:r>
    </w:p>
    <w:p w:rsidR="006B7279" w:rsidRDefault="00A76407">
      <w:r>
        <w:t xml:space="preserve">The firewall device </w:t>
      </w:r>
      <w:r>
        <w:t>must be the only access point between the DMZ and the rest of HAL's networks and/or the Internet. Any form of cross-connection which bypasses the firewall device is strictly prohibited.</w:t>
      </w:r>
    </w:p>
    <w:p w:rsidR="006B7279" w:rsidRDefault="00A76407">
      <w:r>
        <w:t>Original firewall configurations and any changes thereto must be revie</w:t>
      </w:r>
      <w:r>
        <w:t xml:space="preserve">wed and approved by InfoSec (including both general configurations and rule sets). InfoSec may require additional security measures as needed. </w:t>
      </w:r>
    </w:p>
    <w:p w:rsidR="006B7279" w:rsidRDefault="00A76407">
      <w:r>
        <w:t xml:space="preserve">Traffic from the DMZ to the HAL internal network, including VPN access, falls under the Remote Access Policy </w:t>
      </w:r>
    </w:p>
    <w:p w:rsidR="006B7279" w:rsidRDefault="00A76407">
      <w:r>
        <w:lastRenderedPageBreak/>
        <w:t>Al</w:t>
      </w:r>
      <w:r>
        <w:t>l routers and switches not used for testing and/or training must conform to the DMZ Router and Switch standardization documents.</w:t>
      </w:r>
    </w:p>
    <w:p w:rsidR="006B7279" w:rsidRDefault="00A76407">
      <w:r>
        <w:t>Operating systems of all hosts internal to the DMZ running Internet Services must be configured to the secure host installation</w:t>
      </w:r>
      <w:r>
        <w:t xml:space="preserve"> and configuration standards. [Add URL link to site where your internal configuration standards are kept]. </w:t>
      </w:r>
    </w:p>
    <w:p w:rsidR="006B7279" w:rsidRDefault="00A76407">
      <w:r>
        <w:t>Current applicable security patches/hot-fixes for any applications that are Internet services must be applied. Administrative owner groups must have</w:t>
      </w:r>
      <w:r>
        <w:t xml:space="preserve"> processes in place to stay current on appropriate patches/hotfixes. </w:t>
      </w:r>
    </w:p>
    <w:p w:rsidR="006B7279" w:rsidRDefault="00A76407">
      <w:r>
        <w:t>All applicable security patches/hot-fixes recommended by the vendor must be installed. Administrative owner groups must have processes in place to stay current on appropriate patches/hot</w:t>
      </w:r>
      <w:r>
        <w:t xml:space="preserve">fixes. </w:t>
      </w:r>
    </w:p>
    <w:p w:rsidR="006B7279" w:rsidRDefault="00A76407">
      <w:r>
        <w:t xml:space="preserve">Services and applications not serving business requirements must be disabled. </w:t>
      </w:r>
    </w:p>
    <w:p w:rsidR="006B7279" w:rsidRDefault="00A76407">
      <w:r>
        <w:t>HAL Confidential information is prohibited on equipment where non-HAL personnel have physical access (e.g., training labs), in accordance with the Information Sensitivit</w:t>
      </w:r>
      <w:r>
        <w:t xml:space="preserve">y Classification Policy </w:t>
      </w:r>
    </w:p>
    <w:p w:rsidR="006B7279" w:rsidRDefault="00A76407">
      <w:r>
        <w:t>Remote administration must be performed over secure channels (e.g., encrypted network connections using SSH or IPSEC) or console access independent from the DMZ networks.</w:t>
      </w:r>
    </w:p>
    <w:p w:rsidR="006B7279" w:rsidRDefault="00A76407">
      <w:pPr>
        <w:pStyle w:val="Heading1"/>
      </w:pPr>
      <w:r>
        <w:t>Enforcement</w:t>
      </w:r>
    </w:p>
    <w:p w:rsidR="006B7279" w:rsidRDefault="00A7640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Any employee found to be in violation this polic</w:t>
      </w:r>
      <w:r>
        <w:rPr>
          <w:rFonts w:ascii="Times New Roman" w:hAnsi="Times New Roman" w:cs="Times New Roman"/>
          <w:sz w:val="24"/>
          <w:szCs w:val="24"/>
        </w:rPr>
        <w:t>y may be subject to disciplinary action, up to and including termination of employment.</w:t>
      </w:r>
    </w:p>
    <w:p w:rsidR="006B7279" w:rsidRDefault="006B7279">
      <w:pPr>
        <w:autoSpaceDE w:val="0"/>
        <w:autoSpaceDN w:val="0"/>
        <w:adjustRightInd w:val="0"/>
        <w:spacing w:after="0" w:line="240" w:lineRule="auto"/>
        <w:rPr>
          <w:rFonts w:ascii="Times New Roman" w:hAnsi="Times New Roman" w:cs="Times New Roman"/>
          <w:sz w:val="24"/>
          <w:szCs w:val="24"/>
        </w:rPr>
      </w:pPr>
    </w:p>
    <w:sectPr w:rsidR="006B727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6407" w:rsidRDefault="00A76407">
      <w:pPr>
        <w:spacing w:after="0" w:line="240" w:lineRule="auto"/>
      </w:pPr>
      <w:r>
        <w:separator/>
      </w:r>
    </w:p>
  </w:endnote>
  <w:endnote w:type="continuationSeparator" w:id="0">
    <w:p w:rsidR="00A76407" w:rsidRDefault="00A76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6B7279">
      <w:tc>
        <w:tcPr>
          <w:tcW w:w="918" w:type="dxa"/>
        </w:tcPr>
        <w:p w:rsidR="006B7279" w:rsidRDefault="00A76407">
          <w:pPr>
            <w:pStyle w:val="Footer"/>
            <w:jc w:val="right"/>
            <w:rPr>
              <w:b/>
              <w:color w:val="4F81BD" w:themeColor="accent1"/>
              <w:sz w:val="32"/>
              <w:szCs w:val="32"/>
            </w:rPr>
          </w:pPr>
          <w:r>
            <w:fldChar w:fldCharType="begin"/>
          </w:r>
          <w:r>
            <w:instrText xml:space="preserve"> PAGE   \* MERGEFORMAT </w:instrText>
          </w:r>
          <w:r>
            <w:fldChar w:fldCharType="separate"/>
          </w:r>
          <w:r w:rsidR="00C50563" w:rsidRPr="00C50563">
            <w:rPr>
              <w:b/>
              <w:noProof/>
              <w:color w:val="4F81BD" w:themeColor="accent1"/>
              <w:sz w:val="32"/>
              <w:szCs w:val="32"/>
            </w:rPr>
            <w:t>4</w:t>
          </w:r>
          <w:r>
            <w:rPr>
              <w:b/>
              <w:noProof/>
              <w:color w:val="4F81BD" w:themeColor="accent1"/>
              <w:sz w:val="32"/>
              <w:szCs w:val="32"/>
            </w:rPr>
            <w:fldChar w:fldCharType="end"/>
          </w:r>
        </w:p>
      </w:tc>
      <w:tc>
        <w:tcPr>
          <w:tcW w:w="7938" w:type="dxa"/>
        </w:tcPr>
        <w:p w:rsidR="006B7279" w:rsidRDefault="00A76407">
          <w:pPr>
            <w:pStyle w:val="Footer"/>
          </w:pPr>
          <w:r>
            <w:t xml:space="preserve">Network </w:t>
          </w:r>
          <w:r>
            <w:t>Firewall Policy</w:t>
          </w:r>
        </w:p>
      </w:tc>
    </w:tr>
  </w:tbl>
  <w:p w:rsidR="006B7279" w:rsidRDefault="006B727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6407" w:rsidRDefault="00A76407">
      <w:pPr>
        <w:spacing w:after="0" w:line="240" w:lineRule="auto"/>
      </w:pPr>
      <w:r>
        <w:separator/>
      </w:r>
    </w:p>
  </w:footnote>
  <w:footnote w:type="continuationSeparator" w:id="0">
    <w:p w:rsidR="00A76407" w:rsidRDefault="00A764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4699"/>
      <w:gridCol w:w="4661"/>
    </w:tblGrid>
    <w:tr w:rsidR="006B7279">
      <w:trPr>
        <w:trHeight w:val="288"/>
      </w:trPr>
      <w:tc>
        <w:tcPr>
          <w:tcW w:w="4795" w:type="dxa"/>
          <w:vAlign w:val="center"/>
        </w:tcPr>
        <w:p w:rsidR="006B7279" w:rsidRDefault="00A76407">
          <w:pPr>
            <w:pStyle w:val="Header"/>
            <w:jc w:val="center"/>
            <w:rPr>
              <w:rFonts w:asciiTheme="majorHAnsi" w:eastAsiaTheme="majorEastAsia" w:hAnsiTheme="majorHAnsi" w:cstheme="majorBidi"/>
              <w:sz w:val="36"/>
              <w:szCs w:val="36"/>
            </w:rPr>
          </w:pPr>
          <w:r>
            <w:rPr>
              <w:noProof/>
            </w:rPr>
            <w:drawing>
              <wp:inline distT="0" distB="0" distL="0" distR="0">
                <wp:extent cx="1591945" cy="1127125"/>
                <wp:effectExtent l="0" t="0" r="8255"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91945" cy="1127125"/>
                        </a:xfrm>
                        <a:prstGeom prst="rect">
                          <a:avLst/>
                        </a:prstGeom>
                      </pic:spPr>
                    </pic:pic>
                  </a:graphicData>
                </a:graphic>
              </wp:inline>
            </w:drawing>
          </w:r>
        </w:p>
      </w:tc>
      <w:tc>
        <w:tcPr>
          <w:tcW w:w="4795" w:type="dxa"/>
          <w:vAlign w:val="center"/>
        </w:tcPr>
        <w:p w:rsidR="006B7279" w:rsidRDefault="00A76407">
          <w:pPr>
            <w:pStyle w:val="Header"/>
            <w:jc w:val="center"/>
            <w:rPr>
              <w:rFonts w:asciiTheme="majorHAnsi" w:eastAsiaTheme="majorEastAsia" w:hAnsiTheme="majorHAnsi" w:cstheme="majorBidi"/>
              <w:b/>
              <w:bCs/>
              <w:color w:val="4F81BD" w:themeColor="accent1"/>
              <w:sz w:val="36"/>
              <w:szCs w:val="36"/>
            </w:rPr>
          </w:pPr>
          <w:r>
            <w:rPr>
              <w:b/>
              <w:sz w:val="24"/>
            </w:rPr>
            <w:t>HAL Policy</w:t>
          </w:r>
          <w:r>
            <w:rPr>
              <w:b/>
              <w:sz w:val="24"/>
            </w:rPr>
            <w:br/>
            <w:t>Issue Specific Policy for</w:t>
          </w:r>
          <w:r>
            <w:rPr>
              <w:b/>
              <w:sz w:val="24"/>
            </w:rPr>
            <w:br/>
          </w:r>
          <w:r>
            <w:rPr>
              <w:rFonts w:asciiTheme="majorHAnsi" w:eastAsiaTheme="majorEastAsia" w:hAnsiTheme="majorHAnsi" w:cstheme="majorBidi"/>
              <w:b/>
              <w:bCs/>
              <w:color w:val="4F81BD" w:themeColor="accent1"/>
              <w:sz w:val="36"/>
              <w:szCs w:val="36"/>
            </w:rPr>
            <w:br/>
          </w:r>
          <w:r>
            <w:rPr>
              <w:rFonts w:asciiTheme="majorHAnsi" w:eastAsiaTheme="majorEastAsia" w:hAnsiTheme="majorHAnsi" w:cstheme="majorBidi"/>
              <w:b/>
              <w:bCs/>
              <w:color w:val="4F81BD" w:themeColor="accent1"/>
              <w:sz w:val="40"/>
              <w:szCs w:val="36"/>
            </w:rPr>
            <w:t>Network Firewalls</w:t>
          </w:r>
        </w:p>
      </w:tc>
    </w:tr>
  </w:tbl>
  <w:p w:rsidR="006B7279" w:rsidRDefault="006B727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56C5A"/>
    <w:multiLevelType w:val="hybridMultilevel"/>
    <w:tmpl w:val="1304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B12EF6"/>
    <w:multiLevelType w:val="hybridMultilevel"/>
    <w:tmpl w:val="AE429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F03BA2"/>
    <w:multiLevelType w:val="hybridMultilevel"/>
    <w:tmpl w:val="E88E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81BA0"/>
    <w:multiLevelType w:val="multilevel"/>
    <w:tmpl w:val="8DECFD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7475288"/>
    <w:multiLevelType w:val="hybridMultilevel"/>
    <w:tmpl w:val="F5D6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A62C68"/>
    <w:multiLevelType w:val="multilevel"/>
    <w:tmpl w:val="F216FF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66180272"/>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7" w15:restartNumberingAfterBreak="0">
    <w:nsid w:val="6ACB35B2"/>
    <w:multiLevelType w:val="hybridMultilevel"/>
    <w:tmpl w:val="8B22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4828A7"/>
    <w:multiLevelType w:val="multilevel"/>
    <w:tmpl w:val="A198B9F8"/>
    <w:lvl w:ilvl="0">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79E0618F"/>
    <w:multiLevelType w:val="hybridMultilevel"/>
    <w:tmpl w:val="CA721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8"/>
  </w:num>
  <w:num w:numId="5">
    <w:abstractNumId w:val="6"/>
  </w:num>
  <w:num w:numId="6">
    <w:abstractNumId w:val="1"/>
  </w:num>
  <w:num w:numId="7">
    <w:abstractNumId w:val="2"/>
  </w:num>
  <w:num w:numId="8">
    <w:abstractNumId w:val="7"/>
  </w:num>
  <w:num w:numId="9">
    <w:abstractNumId w:val="9"/>
  </w:num>
  <w:num w:numId="10">
    <w:abstractNumId w:val="8"/>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279"/>
    <w:rsid w:val="006B7279"/>
    <w:rsid w:val="00A76407"/>
    <w:rsid w:val="00C50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87E06"/>
  <w15:docId w15:val="{254E071E-0A1E-4112-A70F-CD08153D3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pPr>
      <w:outlineLvl w:val="9"/>
    </w:p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character" w:styleId="Hyperlink">
    <w:name w:val="Hyperlink"/>
    <w:basedOn w:val="DefaultParagraphFont"/>
    <w:uiPriority w:val="99"/>
    <w:unhideWhenUsed/>
    <w:rPr>
      <w:color w:val="0000FF" w:themeColor="hyperlink"/>
      <w:u w:val="single"/>
    </w:rPr>
  </w:style>
  <w:style w:type="paragraph" w:styleId="PlainText">
    <w:name w:val="Plain Text"/>
    <w:basedOn w:val="Normal"/>
    <w:link w:val="PlainTextChar"/>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Active\_DropBoxFolders\My%20Dropbox\SECCDC\2012\Policy%20Work\Change_Control_Polic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nameof Policy</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E1FACB-DD86-430C-B0AA-2A02CE8A8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Change_Control_Policy.dotx</Template>
  <TotalTime>17</TotalTime>
  <Pages>4</Pages>
  <Words>982</Words>
  <Characters>5601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Hierarchical Access Limited</vt:lpstr>
    </vt:vector>
  </TitlesOfParts>
  <Company>Microsoft</Company>
  <LinksUpToDate>false</LinksUpToDate>
  <CharactersWithSpaces>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Hierarchical Access Limited</dc:title>
  <dc:creator>Herbert Mattord</dc:creator>
  <cp:lastModifiedBy>Michael Whitman</cp:lastModifiedBy>
  <cp:revision>8</cp:revision>
  <dcterms:created xsi:type="dcterms:W3CDTF">2015-02-14T05:34:00Z</dcterms:created>
  <dcterms:modified xsi:type="dcterms:W3CDTF">2019-01-30T21:34:00Z</dcterms:modified>
</cp:coreProperties>
</file>