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02" w:rsidRDefault="00366B28">
      <w:pPr>
        <w:pStyle w:val="Heading1"/>
      </w:pPr>
      <w:r>
        <w:t>Document Control</w:t>
      </w:r>
    </w:p>
    <w:p w:rsidR="00276802" w:rsidRDefault="00366B28">
      <w:pPr>
        <w:pStyle w:val="Heading2"/>
      </w:pPr>
      <w:bookmarkStart w:id="0" w:name="_Toc301210961"/>
      <w:bookmarkStart w:id="1" w:name="_Toc314856913"/>
      <w:r>
        <w:t>Versioning</w:t>
      </w:r>
      <w:bookmarkEnd w:id="0"/>
      <w:bookmarkEnd w:id="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6"/>
        <w:gridCol w:w="3122"/>
      </w:tblGrid>
      <w:tr w:rsidR="00276802">
        <w:tc>
          <w:tcPr>
            <w:tcW w:w="3192" w:type="dxa"/>
            <w:shd w:val="clear" w:color="auto" w:fill="BFBFBF" w:themeFill="background1" w:themeFillShade="BF"/>
          </w:tcPr>
          <w:p w:rsidR="00276802" w:rsidRDefault="00366B2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276802" w:rsidRDefault="00366B2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276802" w:rsidRDefault="00366B28">
            <w:pPr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276802">
        <w:tc>
          <w:tcPr>
            <w:tcW w:w="3192" w:type="dxa"/>
          </w:tcPr>
          <w:p w:rsidR="00276802" w:rsidRDefault="00366B28">
            <w:r>
              <w:t>Version 1</w:t>
            </w:r>
          </w:p>
        </w:tc>
        <w:tc>
          <w:tcPr>
            <w:tcW w:w="3192" w:type="dxa"/>
          </w:tcPr>
          <w:p w:rsidR="00276802" w:rsidRDefault="00D749DC">
            <w:r>
              <w:t>February 1, 2019</w:t>
            </w:r>
          </w:p>
        </w:tc>
        <w:tc>
          <w:tcPr>
            <w:tcW w:w="3192" w:type="dxa"/>
          </w:tcPr>
          <w:p w:rsidR="00276802" w:rsidRDefault="00366B28">
            <w:r>
              <w:t>Placed into production</w:t>
            </w:r>
          </w:p>
        </w:tc>
      </w:tr>
    </w:tbl>
    <w:p w:rsidR="00276802" w:rsidRDefault="00366B28">
      <w:pPr>
        <w:pStyle w:val="Heading2"/>
      </w:pPr>
      <w:bookmarkStart w:id="2" w:name="_Toc301210962"/>
      <w:bookmarkStart w:id="3" w:name="_Toc314856914"/>
      <w:r>
        <w:t>Applicable Parties</w:t>
      </w:r>
      <w:bookmarkEnd w:id="2"/>
      <w:bookmarkEnd w:id="3"/>
    </w:p>
    <w:p w:rsidR="00276802" w:rsidRDefault="00366B28">
      <w:r>
        <w:t xml:space="preserve">This document is strictly confidential and should only be </w:t>
      </w:r>
      <w:r>
        <w:t>distributed or viewed by the following parties:</w:t>
      </w:r>
    </w:p>
    <w:p w:rsidR="00276802" w:rsidRDefault="00366B28">
      <w:pPr>
        <w:pStyle w:val="ListParagraph"/>
        <w:numPr>
          <w:ilvl w:val="0"/>
          <w:numId w:val="1"/>
        </w:numPr>
      </w:pPr>
      <w:r>
        <w:t>HAL Designated Associates</w:t>
      </w:r>
    </w:p>
    <w:p w:rsidR="00276802" w:rsidRDefault="00366B28">
      <w:pPr>
        <w:pStyle w:val="ListParagraph"/>
        <w:numPr>
          <w:ilvl w:val="0"/>
          <w:numId w:val="1"/>
        </w:numPr>
      </w:pPr>
      <w:r>
        <w:t>HAL Regional Employees (Compartmented to the Division)</w:t>
      </w:r>
    </w:p>
    <w:p w:rsidR="00276802" w:rsidRDefault="00366B28">
      <w:pPr>
        <w:pStyle w:val="ListParagraph"/>
        <w:numPr>
          <w:ilvl w:val="0"/>
          <w:numId w:val="1"/>
        </w:numPr>
      </w:pPr>
      <w:r>
        <w:t>HAL Management Team</w:t>
      </w:r>
    </w:p>
    <w:p w:rsidR="00276802" w:rsidRDefault="00366B28">
      <w:pPr>
        <w:pStyle w:val="ListParagraph"/>
        <w:numPr>
          <w:ilvl w:val="0"/>
          <w:numId w:val="1"/>
        </w:numPr>
      </w:pPr>
      <w:r>
        <w:t>HAL Auditing Team</w:t>
      </w:r>
    </w:p>
    <w:p w:rsidR="00276802" w:rsidRDefault="00366B28">
      <w:pPr>
        <w:pStyle w:val="Heading2"/>
      </w:pPr>
      <w:bookmarkStart w:id="4" w:name="_Toc314856915"/>
      <w:r>
        <w:t>Review Period</w:t>
      </w:r>
      <w:bookmarkEnd w:id="4"/>
    </w:p>
    <w:p w:rsidR="00276802" w:rsidRDefault="00366B28">
      <w:r>
        <w:t>This document is subject to review by the Information Security Policy Commi</w:t>
      </w:r>
      <w:r>
        <w:t>ttee (ISPC) at a minimum interval of quarterly (every 3 months) at a maximum interval of bi-annually (every 6 months).</w:t>
      </w:r>
    </w:p>
    <w:p w:rsidR="00276802" w:rsidRDefault="00366B28">
      <w:pPr>
        <w:pStyle w:val="Heading3"/>
      </w:pPr>
      <w:bookmarkStart w:id="5" w:name="_Toc314856916"/>
      <w:r>
        <w:t>Previous Reviews</w:t>
      </w:r>
      <w:bookmarkEnd w:id="5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16"/>
        <w:gridCol w:w="3116"/>
      </w:tblGrid>
      <w:tr w:rsidR="00276802">
        <w:tc>
          <w:tcPr>
            <w:tcW w:w="3192" w:type="dxa"/>
            <w:shd w:val="clear" w:color="auto" w:fill="BFBFBF" w:themeFill="background1" w:themeFillShade="BF"/>
          </w:tcPr>
          <w:p w:rsidR="00276802" w:rsidRDefault="00366B28">
            <w:pPr>
              <w:rPr>
                <w:b/>
              </w:rPr>
            </w:pPr>
            <w:r>
              <w:rPr>
                <w:b/>
              </w:rPr>
              <w:t>Committee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276802" w:rsidRDefault="00366B28">
            <w:pPr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276802" w:rsidRDefault="00366B28">
            <w:pPr>
              <w:rPr>
                <w:b/>
              </w:rPr>
            </w:pPr>
            <w:r>
              <w:rPr>
                <w:b/>
              </w:rPr>
              <w:t>Approval Date</w:t>
            </w:r>
          </w:p>
        </w:tc>
      </w:tr>
      <w:tr w:rsidR="00276802">
        <w:tc>
          <w:tcPr>
            <w:tcW w:w="3192" w:type="dxa"/>
          </w:tcPr>
          <w:p w:rsidR="00276802" w:rsidRDefault="00366B28">
            <w:r>
              <w:t>ISPC</w:t>
            </w:r>
          </w:p>
        </w:tc>
        <w:tc>
          <w:tcPr>
            <w:tcW w:w="3192" w:type="dxa"/>
          </w:tcPr>
          <w:p w:rsidR="00276802" w:rsidRDefault="00D749DC">
            <w:r>
              <w:t>7/15/2018</w:t>
            </w:r>
          </w:p>
        </w:tc>
        <w:tc>
          <w:tcPr>
            <w:tcW w:w="3192" w:type="dxa"/>
          </w:tcPr>
          <w:p w:rsidR="00276802" w:rsidRDefault="00D749DC">
            <w:r>
              <w:t>8/1/2018</w:t>
            </w:r>
          </w:p>
        </w:tc>
      </w:tr>
      <w:tr w:rsidR="00276802">
        <w:tc>
          <w:tcPr>
            <w:tcW w:w="3192" w:type="dxa"/>
          </w:tcPr>
          <w:p w:rsidR="00276802" w:rsidRDefault="00366B28">
            <w:r>
              <w:t>CEO</w:t>
            </w:r>
          </w:p>
        </w:tc>
        <w:tc>
          <w:tcPr>
            <w:tcW w:w="3192" w:type="dxa"/>
          </w:tcPr>
          <w:p w:rsidR="00276802" w:rsidRDefault="00D749DC">
            <w:r>
              <w:t>1/21/2019</w:t>
            </w:r>
          </w:p>
        </w:tc>
        <w:tc>
          <w:tcPr>
            <w:tcW w:w="3192" w:type="dxa"/>
          </w:tcPr>
          <w:p w:rsidR="00276802" w:rsidRDefault="00D749DC">
            <w:r>
              <w:t>1/22/2019</w:t>
            </w:r>
          </w:p>
        </w:tc>
      </w:tr>
      <w:tr w:rsidR="00276802">
        <w:tc>
          <w:tcPr>
            <w:tcW w:w="3192" w:type="dxa"/>
          </w:tcPr>
          <w:p w:rsidR="00276802" w:rsidRDefault="00366B28">
            <w:r>
              <w:t>Corporate CISO</w:t>
            </w:r>
          </w:p>
        </w:tc>
        <w:tc>
          <w:tcPr>
            <w:tcW w:w="3192" w:type="dxa"/>
          </w:tcPr>
          <w:p w:rsidR="00276802" w:rsidRDefault="00D749DC">
            <w:r>
              <w:t>1/23/2019</w:t>
            </w:r>
          </w:p>
        </w:tc>
        <w:tc>
          <w:tcPr>
            <w:tcW w:w="3192" w:type="dxa"/>
          </w:tcPr>
          <w:p w:rsidR="00276802" w:rsidRDefault="00D749DC">
            <w:r>
              <w:t>1/23/2019</w:t>
            </w:r>
          </w:p>
        </w:tc>
      </w:tr>
    </w:tbl>
    <w:p w:rsidR="00276802" w:rsidRDefault="00366B28">
      <w:pPr>
        <w:pStyle w:val="Heading1"/>
      </w:pPr>
      <w:bookmarkStart w:id="6" w:name="_Toc314856917"/>
      <w:r>
        <w:t>Purpose</w:t>
      </w:r>
    </w:p>
    <w:p w:rsidR="00276802" w:rsidRDefault="00366B28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The purpose of this policy is to specify the requirement for utilizing anti-virus software and other control mechanisms to aid in the prevention of the introduction of malicious software </w:t>
      </w:r>
      <w:proofErr w:type="spellStart"/>
      <w:r>
        <w:rPr>
          <w:rFonts w:ascii="Times New Roman" w:eastAsia="MS Mincho" w:hAnsi="Times New Roman"/>
          <w:sz w:val="24"/>
          <w:szCs w:val="24"/>
        </w:rPr>
        <w:t>ss</w:t>
      </w:r>
      <w:proofErr w:type="spellEnd"/>
      <w:r>
        <w:rPr>
          <w:rFonts w:ascii="Times New Roman" w:eastAsia="MS Mincho" w:hAnsi="Times New Roman"/>
          <w:sz w:val="24"/>
          <w:szCs w:val="24"/>
        </w:rPr>
        <w:t xml:space="preserve"> to HAL corporate owned systems, where corporate</w:t>
      </w:r>
      <w:r>
        <w:rPr>
          <w:rFonts w:ascii="Times New Roman" w:eastAsia="MS Mincho" w:hAnsi="Times New Roman"/>
          <w:sz w:val="24"/>
          <w:szCs w:val="24"/>
        </w:rPr>
        <w:t xml:space="preserve"> owned is defined as any system operating in a HAL production environment on the company network, whether within the company owned facilities or issued to company agents or employees for use at remote locations for company business. </w:t>
      </w:r>
    </w:p>
    <w:p w:rsidR="00276802" w:rsidRDefault="00366B28">
      <w:pPr>
        <w:pStyle w:val="Heading1"/>
      </w:pPr>
      <w:r>
        <w:lastRenderedPageBreak/>
        <w:t>Scope</w:t>
      </w:r>
    </w:p>
    <w:p w:rsidR="00276802" w:rsidRDefault="00366B28">
      <w:pPr>
        <w:pStyle w:val="Heading2"/>
      </w:pPr>
      <w:r>
        <w:t>Applicability</w:t>
      </w:r>
    </w:p>
    <w:p w:rsidR="00276802" w:rsidRDefault="00366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 policy applies to all HAL employees and affiliates at all HAL facilities and locations world-wide.</w:t>
      </w:r>
    </w:p>
    <w:p w:rsidR="00276802" w:rsidRDefault="00366B28">
      <w:pPr>
        <w:pStyle w:val="Heading2"/>
      </w:pPr>
      <w:r>
        <w:t>Ownership</w:t>
      </w:r>
    </w:p>
    <w:p w:rsidR="00276802" w:rsidRDefault="00366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policy is under the direct control of the HAL Corporate CIO with input from other members of management with an interest in the program.</w:t>
      </w:r>
    </w:p>
    <w:p w:rsidR="00276802" w:rsidRDefault="00366B28">
      <w:pPr>
        <w:pStyle w:val="Heading1"/>
      </w:pPr>
      <w:r>
        <w:t>Policy</w:t>
      </w:r>
    </w:p>
    <w:p w:rsidR="00276802" w:rsidRDefault="00366B28">
      <w:pPr>
        <w:pStyle w:val="Heading2"/>
      </w:pPr>
      <w:r>
        <w:t>General Guidelines</w:t>
      </w:r>
    </w:p>
    <w:p w:rsidR="00276802" w:rsidRDefault="00366B28">
      <w:pPr>
        <w:pStyle w:val="PlainText"/>
        <w:ind w:left="72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Always run the corporate standard, supported anti-virus software is available from the corporate download site. Download and run the current version; download and install anti-virus software updates as they become available.</w:t>
      </w:r>
    </w:p>
    <w:p w:rsidR="00276802" w:rsidRDefault="00366B28">
      <w:pPr>
        <w:pStyle w:val="PlainText"/>
        <w:ind w:left="72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NEVER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open any files or macros attached to an email from an unknown, suspicious or untrustworthy source. Delete these attachments immediately, then "double delete" them by emptying your Trash.</w:t>
      </w:r>
    </w:p>
    <w:p w:rsidR="00276802" w:rsidRDefault="00366B28">
      <w:pPr>
        <w:pStyle w:val="PlainText"/>
        <w:ind w:left="72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Delete spam, chain, and other junk email without forwarding, refer to HAL's </w:t>
      </w:r>
      <w:r>
        <w:rPr>
          <w:rFonts w:ascii="Times New Roman" w:eastAsia="MS Mincho" w:hAnsi="Times New Roman" w:cs="Times New Roman"/>
          <w:i/>
          <w:iCs/>
          <w:sz w:val="24"/>
          <w:szCs w:val="24"/>
        </w:rPr>
        <w:t>Acceptable Use Policy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276802" w:rsidRDefault="00366B28">
      <w:pPr>
        <w:pStyle w:val="PlainText"/>
        <w:ind w:left="72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Never download files from unknown or suspicious sources.</w:t>
      </w:r>
    </w:p>
    <w:p w:rsidR="00276802" w:rsidRDefault="00366B28">
      <w:pPr>
        <w:pStyle w:val="PlainText"/>
        <w:ind w:left="72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Avoid direct disk sharing with read/write access unless there is absolutely a business requirement t</w:t>
      </w:r>
      <w:r>
        <w:rPr>
          <w:rFonts w:ascii="Times New Roman" w:eastAsia="MS Mincho" w:hAnsi="Times New Roman" w:cs="Times New Roman"/>
          <w:sz w:val="24"/>
          <w:szCs w:val="24"/>
        </w:rPr>
        <w:t>o do so.</w:t>
      </w:r>
    </w:p>
    <w:p w:rsidR="00276802" w:rsidRDefault="00366B28">
      <w:pPr>
        <w:pStyle w:val="PlainText"/>
        <w:ind w:left="72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Always scan a floppy diskette from an unknown source for viruses before using it.</w:t>
      </w:r>
    </w:p>
    <w:p w:rsidR="00276802" w:rsidRDefault="00366B28">
      <w:pPr>
        <w:pStyle w:val="PlainText"/>
        <w:ind w:left="72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Back-up critical data and system configurations on a regular basis and store the data in a safe place.</w:t>
      </w:r>
    </w:p>
    <w:p w:rsidR="00276802" w:rsidRDefault="00366B28">
      <w:pPr>
        <w:pStyle w:val="PlainText"/>
        <w:ind w:left="72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If lab testing conflicts with anti-virus software, run the ant</w:t>
      </w:r>
      <w:r>
        <w:rPr>
          <w:rFonts w:ascii="Times New Roman" w:eastAsia="MS Mincho" w:hAnsi="Times New Roman" w:cs="Times New Roman"/>
          <w:sz w:val="24"/>
          <w:szCs w:val="24"/>
        </w:rPr>
        <w:t>i-virus utility to ensure a clean machine, disable the software, and then run the lab test. After the lab test, enable the anti-virus software. When the anti-virus software is disabled, do not run any applications that could transfer a virus, e.g., email o</w:t>
      </w:r>
      <w:r>
        <w:rPr>
          <w:rFonts w:ascii="Times New Roman" w:eastAsia="MS Mincho" w:hAnsi="Times New Roman" w:cs="Times New Roman"/>
          <w:sz w:val="24"/>
          <w:szCs w:val="24"/>
        </w:rPr>
        <w:t>r file sharing.</w:t>
      </w:r>
    </w:p>
    <w:p w:rsidR="00276802" w:rsidRDefault="00366B28">
      <w:pPr>
        <w:pStyle w:val="Heading2"/>
      </w:pPr>
      <w:r>
        <w:t>Responsibility</w:t>
      </w:r>
    </w:p>
    <w:p w:rsidR="00276802" w:rsidRDefault="00366B28">
      <w:r>
        <w:rPr>
          <w:rFonts w:ascii="Times New Roman" w:eastAsia="MS Mincho" w:hAnsi="Times New Roman" w:cs="Times New Roman"/>
          <w:sz w:val="24"/>
          <w:szCs w:val="24"/>
        </w:rPr>
        <w:t>Responsibility will befall to IS/IT/InfoSec staff to verify current anti-virus revisions and maintain the corporate download website with current updates for corporate assets.</w:t>
      </w:r>
    </w:p>
    <w:bookmarkEnd w:id="6"/>
    <w:p w:rsidR="00276802" w:rsidRDefault="00366B28">
      <w:pPr>
        <w:pStyle w:val="Heading1"/>
      </w:pPr>
      <w:r>
        <w:lastRenderedPageBreak/>
        <w:t>Enforcement</w:t>
      </w:r>
    </w:p>
    <w:p w:rsidR="00276802" w:rsidRDefault="00366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employee found to be in violation</w:t>
      </w:r>
      <w:r>
        <w:rPr>
          <w:rFonts w:ascii="Times New Roman" w:hAnsi="Times New Roman" w:cs="Times New Roman"/>
          <w:sz w:val="24"/>
          <w:szCs w:val="24"/>
        </w:rPr>
        <w:t xml:space="preserve"> this policy may be subject to disciplinary action, up to and including termination of employment.</w:t>
      </w:r>
    </w:p>
    <w:p w:rsidR="00276802" w:rsidRDefault="002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sectPr w:rsidR="0027680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B28" w:rsidRDefault="00366B28">
      <w:pPr>
        <w:spacing w:after="0" w:line="240" w:lineRule="auto"/>
      </w:pPr>
      <w:r>
        <w:separator/>
      </w:r>
    </w:p>
  </w:endnote>
  <w:endnote w:type="continuationSeparator" w:id="0">
    <w:p w:rsidR="00366B28" w:rsidRDefault="0036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276802">
      <w:tc>
        <w:tcPr>
          <w:tcW w:w="918" w:type="dxa"/>
        </w:tcPr>
        <w:p w:rsidR="00276802" w:rsidRDefault="00366B28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749DC" w:rsidRPr="00D749DC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276802" w:rsidRDefault="00366B28">
          <w:pPr>
            <w:pStyle w:val="Footer"/>
          </w:pPr>
          <w:r>
            <w:t>Malware Control Policy</w:t>
          </w:r>
        </w:p>
      </w:tc>
    </w:tr>
  </w:tbl>
  <w:p w:rsidR="00276802" w:rsidRDefault="00276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B28" w:rsidRDefault="00366B28">
      <w:pPr>
        <w:spacing w:after="0" w:line="240" w:lineRule="auto"/>
      </w:pPr>
      <w:r>
        <w:separator/>
      </w:r>
    </w:p>
  </w:footnote>
  <w:footnote w:type="continuationSeparator" w:id="0">
    <w:p w:rsidR="00366B28" w:rsidRDefault="00366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04"/>
      <w:gridCol w:w="4656"/>
    </w:tblGrid>
    <w:tr w:rsidR="00276802">
      <w:trPr>
        <w:trHeight w:val="288"/>
      </w:trPr>
      <w:tc>
        <w:tcPr>
          <w:tcW w:w="4795" w:type="dxa"/>
          <w:vAlign w:val="center"/>
        </w:tcPr>
        <w:p w:rsidR="00276802" w:rsidRDefault="00366B28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>
                <wp:extent cx="1591945" cy="1127125"/>
                <wp:effectExtent l="0" t="0" r="8255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945" cy="1127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95" w:type="dxa"/>
          <w:vAlign w:val="center"/>
        </w:tcPr>
        <w:p w:rsidR="00276802" w:rsidRDefault="00366B2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b/>
              <w:sz w:val="24"/>
            </w:rPr>
            <w:t>HAL Policy</w:t>
          </w:r>
          <w:r>
            <w:rPr>
              <w:b/>
              <w:sz w:val="24"/>
            </w:rPr>
            <w:br/>
            <w:t>Issue Specific Policy</w:t>
          </w:r>
          <w:r>
            <w:rPr>
              <w:b/>
              <w:sz w:val="24"/>
            </w:rPr>
            <w:br/>
          </w:r>
          <w:sdt>
            <w:sdt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36"/>
                <w:szCs w:val="36"/>
              </w:rPr>
              <w:alias w:val="Year"/>
              <w:id w:val="-661931787"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yyyy"/>
                <w:lid w:val="en-US"/>
                <w:storeMappedDataAs w:val="dateTime"/>
                <w:calendar w:val="gregorian"/>
              </w:date>
            </w:sdtPr>
            <w:sdtEndPr/>
            <w:sdtContent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Malware Control</w:t>
              </w:r>
            </w:sdtContent>
          </w:sdt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 xml:space="preserve"> </w:t>
          </w:r>
        </w:p>
      </w:tc>
    </w:tr>
  </w:tbl>
  <w:p w:rsidR="00276802" w:rsidRDefault="002768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6C5A"/>
    <w:multiLevelType w:val="hybridMultilevel"/>
    <w:tmpl w:val="1304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12EF6"/>
    <w:multiLevelType w:val="hybridMultilevel"/>
    <w:tmpl w:val="AE42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03BA2"/>
    <w:multiLevelType w:val="hybridMultilevel"/>
    <w:tmpl w:val="E88E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81BA0"/>
    <w:multiLevelType w:val="multilevel"/>
    <w:tmpl w:val="8DECFD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FA62C68"/>
    <w:multiLevelType w:val="multilevel"/>
    <w:tmpl w:val="F216FF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618027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6ACB35B2"/>
    <w:multiLevelType w:val="hybridMultilevel"/>
    <w:tmpl w:val="8B22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828A7"/>
    <w:multiLevelType w:val="multilevel"/>
    <w:tmpl w:val="A198B9F8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9E0618F"/>
    <w:multiLevelType w:val="hybridMultilevel"/>
    <w:tmpl w:val="CA72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02"/>
    <w:rsid w:val="00276802"/>
    <w:rsid w:val="00366B28"/>
    <w:rsid w:val="00D7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FE0"/>
  <w15:docId w15:val="{BDABCBD3-074C-4BCC-BA75-E9ABA9C1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ctive\_DropBoxFolders\My%20Dropbox\SECCDC\2012\Policy%20Work\Change_Control_Polic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Malware Control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8EA71A-E754-4C15-8158-42771A58C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Change_Control_Policy.dotx</Template>
  <TotalTime>2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Hierarchical Access Limited</vt:lpstr>
    </vt:vector>
  </TitlesOfParts>
  <Company>Microsoft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Access Limited</dc:title>
  <dc:creator>Herbert Mattord</dc:creator>
  <cp:lastModifiedBy>Michael Whitman</cp:lastModifiedBy>
  <cp:revision>8</cp:revision>
  <dcterms:created xsi:type="dcterms:W3CDTF">2015-02-14T05:33:00Z</dcterms:created>
  <dcterms:modified xsi:type="dcterms:W3CDTF">2019-01-30T21:34:00Z</dcterms:modified>
</cp:coreProperties>
</file>