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F6F" w:rsidRDefault="00A551B5">
      <w:pPr>
        <w:pStyle w:val="Heading1"/>
        <w:keepNext w:val="0"/>
        <w:keepLines w:val="0"/>
        <w:widowControl w:val="0"/>
      </w:pPr>
      <w:r>
        <w:t>Document Control</w:t>
      </w:r>
    </w:p>
    <w:p w:rsidR="00DA1F6F" w:rsidRDefault="00A551B5">
      <w:pPr>
        <w:pStyle w:val="Heading2"/>
        <w:keepNext w:val="0"/>
        <w:keepLines w:val="0"/>
        <w:widowControl w:val="0"/>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DA1F6F">
        <w:tc>
          <w:tcPr>
            <w:tcW w:w="3192" w:type="dxa"/>
            <w:shd w:val="clear" w:color="auto" w:fill="BFBFBF" w:themeFill="background1" w:themeFillShade="BF"/>
          </w:tcPr>
          <w:p w:rsidR="00DA1F6F" w:rsidRDefault="00A551B5">
            <w:pPr>
              <w:widowControl w:val="0"/>
              <w:rPr>
                <w:b/>
              </w:rPr>
            </w:pPr>
            <w:r>
              <w:rPr>
                <w:b/>
              </w:rPr>
              <w:t>Name</w:t>
            </w:r>
          </w:p>
        </w:tc>
        <w:tc>
          <w:tcPr>
            <w:tcW w:w="3192" w:type="dxa"/>
            <w:shd w:val="clear" w:color="auto" w:fill="BFBFBF" w:themeFill="background1" w:themeFillShade="BF"/>
          </w:tcPr>
          <w:p w:rsidR="00DA1F6F" w:rsidRDefault="00A551B5">
            <w:pPr>
              <w:widowControl w:val="0"/>
              <w:rPr>
                <w:b/>
              </w:rPr>
            </w:pPr>
            <w:r>
              <w:rPr>
                <w:b/>
              </w:rPr>
              <w:t>Date</w:t>
            </w:r>
          </w:p>
        </w:tc>
        <w:tc>
          <w:tcPr>
            <w:tcW w:w="3192" w:type="dxa"/>
            <w:shd w:val="clear" w:color="auto" w:fill="BFBFBF" w:themeFill="background1" w:themeFillShade="BF"/>
          </w:tcPr>
          <w:p w:rsidR="00DA1F6F" w:rsidRDefault="00A551B5">
            <w:pPr>
              <w:widowControl w:val="0"/>
              <w:rPr>
                <w:b/>
              </w:rPr>
            </w:pPr>
            <w:r>
              <w:rPr>
                <w:b/>
              </w:rPr>
              <w:t>Reason</w:t>
            </w:r>
          </w:p>
        </w:tc>
      </w:tr>
      <w:tr w:rsidR="00DA1F6F">
        <w:tc>
          <w:tcPr>
            <w:tcW w:w="3192" w:type="dxa"/>
          </w:tcPr>
          <w:p w:rsidR="00DA1F6F" w:rsidRDefault="00A551B5">
            <w:pPr>
              <w:widowControl w:val="0"/>
            </w:pPr>
            <w:r>
              <w:t>Version 1</w:t>
            </w:r>
          </w:p>
        </w:tc>
        <w:tc>
          <w:tcPr>
            <w:tcW w:w="3192" w:type="dxa"/>
          </w:tcPr>
          <w:p w:rsidR="00DA1F6F" w:rsidRDefault="00C5594A">
            <w:pPr>
              <w:widowControl w:val="0"/>
            </w:pPr>
            <w:r>
              <w:t>February 1, 2019</w:t>
            </w:r>
          </w:p>
        </w:tc>
        <w:tc>
          <w:tcPr>
            <w:tcW w:w="3192" w:type="dxa"/>
          </w:tcPr>
          <w:p w:rsidR="00DA1F6F" w:rsidRDefault="00A551B5">
            <w:pPr>
              <w:widowControl w:val="0"/>
            </w:pPr>
            <w:r>
              <w:t>Placed into production</w:t>
            </w:r>
          </w:p>
        </w:tc>
      </w:tr>
    </w:tbl>
    <w:p w:rsidR="00DA1F6F" w:rsidRDefault="00A551B5">
      <w:pPr>
        <w:pStyle w:val="Heading2"/>
        <w:keepNext w:val="0"/>
        <w:keepLines w:val="0"/>
        <w:widowControl w:val="0"/>
      </w:pPr>
      <w:bookmarkStart w:id="2" w:name="_Toc301210962"/>
      <w:bookmarkStart w:id="3" w:name="_Toc314856914"/>
      <w:r>
        <w:t>Applicable Parties</w:t>
      </w:r>
      <w:bookmarkEnd w:id="2"/>
      <w:bookmarkEnd w:id="3"/>
    </w:p>
    <w:p w:rsidR="00DA1F6F" w:rsidRDefault="00A551B5">
      <w:pPr>
        <w:widowControl w:val="0"/>
      </w:pPr>
      <w:r>
        <w:t>This document is strictly confidential and should only be distributed or viewed by the following parties:</w:t>
      </w:r>
    </w:p>
    <w:p w:rsidR="00DA1F6F" w:rsidRDefault="00A551B5">
      <w:pPr>
        <w:pStyle w:val="ListParagraph"/>
        <w:widowControl w:val="0"/>
        <w:numPr>
          <w:ilvl w:val="0"/>
          <w:numId w:val="1"/>
        </w:numPr>
      </w:pPr>
      <w:r>
        <w:t>HAL Designated Associates</w:t>
      </w:r>
    </w:p>
    <w:p w:rsidR="00DA1F6F" w:rsidRDefault="00A551B5">
      <w:pPr>
        <w:pStyle w:val="ListParagraph"/>
        <w:widowControl w:val="0"/>
        <w:numPr>
          <w:ilvl w:val="0"/>
          <w:numId w:val="1"/>
        </w:numPr>
      </w:pPr>
      <w:r>
        <w:t xml:space="preserve">HAL </w:t>
      </w:r>
      <w:r>
        <w:t>Regional Employees (Compartmented to the Division)</w:t>
      </w:r>
    </w:p>
    <w:p w:rsidR="00DA1F6F" w:rsidRDefault="00A551B5">
      <w:pPr>
        <w:pStyle w:val="ListParagraph"/>
        <w:widowControl w:val="0"/>
        <w:numPr>
          <w:ilvl w:val="0"/>
          <w:numId w:val="1"/>
        </w:numPr>
      </w:pPr>
      <w:r>
        <w:t>HAL Management Team</w:t>
      </w:r>
    </w:p>
    <w:p w:rsidR="00DA1F6F" w:rsidRDefault="00A551B5">
      <w:pPr>
        <w:pStyle w:val="ListParagraph"/>
        <w:widowControl w:val="0"/>
        <w:numPr>
          <w:ilvl w:val="0"/>
          <w:numId w:val="1"/>
        </w:numPr>
      </w:pPr>
      <w:r>
        <w:t>HAL Auditing Team</w:t>
      </w:r>
    </w:p>
    <w:p w:rsidR="00DA1F6F" w:rsidRDefault="00A551B5">
      <w:pPr>
        <w:pStyle w:val="Heading2"/>
        <w:keepNext w:val="0"/>
        <w:keepLines w:val="0"/>
        <w:widowControl w:val="0"/>
      </w:pPr>
      <w:bookmarkStart w:id="4" w:name="_Toc314856915"/>
      <w:r>
        <w:t>Review Period</w:t>
      </w:r>
      <w:bookmarkEnd w:id="4"/>
    </w:p>
    <w:p w:rsidR="00DA1F6F" w:rsidRDefault="00A551B5">
      <w:pPr>
        <w:widowControl w:val="0"/>
      </w:pPr>
      <w:r>
        <w:t xml:space="preserve">This document is subject to review by the Information Security Policy Committee (ISPC) at a minimum interval of quarterly (every 3 months) at a maximum </w:t>
      </w:r>
      <w:r>
        <w:t>interval of bi-annually (every 6 months).</w:t>
      </w:r>
    </w:p>
    <w:p w:rsidR="00DA1F6F" w:rsidRDefault="00A551B5">
      <w:pPr>
        <w:pStyle w:val="Heading3"/>
        <w:keepNext w:val="0"/>
        <w:keepLines w:val="0"/>
        <w:widowControl w:val="0"/>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DA1F6F">
        <w:tc>
          <w:tcPr>
            <w:tcW w:w="3192" w:type="dxa"/>
            <w:shd w:val="clear" w:color="auto" w:fill="BFBFBF" w:themeFill="background1" w:themeFillShade="BF"/>
          </w:tcPr>
          <w:p w:rsidR="00DA1F6F" w:rsidRDefault="00A551B5">
            <w:pPr>
              <w:widowControl w:val="0"/>
              <w:rPr>
                <w:b/>
              </w:rPr>
            </w:pPr>
            <w:r>
              <w:rPr>
                <w:b/>
              </w:rPr>
              <w:t>Committee</w:t>
            </w:r>
          </w:p>
        </w:tc>
        <w:tc>
          <w:tcPr>
            <w:tcW w:w="3192" w:type="dxa"/>
            <w:shd w:val="clear" w:color="auto" w:fill="BFBFBF" w:themeFill="background1" w:themeFillShade="BF"/>
          </w:tcPr>
          <w:p w:rsidR="00DA1F6F" w:rsidRDefault="00A551B5">
            <w:pPr>
              <w:widowControl w:val="0"/>
              <w:rPr>
                <w:b/>
              </w:rPr>
            </w:pPr>
            <w:r>
              <w:rPr>
                <w:b/>
              </w:rPr>
              <w:t>Review Date</w:t>
            </w:r>
          </w:p>
        </w:tc>
        <w:tc>
          <w:tcPr>
            <w:tcW w:w="3192" w:type="dxa"/>
            <w:shd w:val="clear" w:color="auto" w:fill="BFBFBF" w:themeFill="background1" w:themeFillShade="BF"/>
          </w:tcPr>
          <w:p w:rsidR="00DA1F6F" w:rsidRDefault="00A551B5">
            <w:pPr>
              <w:widowControl w:val="0"/>
              <w:rPr>
                <w:b/>
              </w:rPr>
            </w:pPr>
            <w:r>
              <w:rPr>
                <w:b/>
              </w:rPr>
              <w:t>Approval Date</w:t>
            </w:r>
          </w:p>
        </w:tc>
      </w:tr>
      <w:tr w:rsidR="00DA1F6F">
        <w:tc>
          <w:tcPr>
            <w:tcW w:w="3192" w:type="dxa"/>
          </w:tcPr>
          <w:p w:rsidR="00DA1F6F" w:rsidRDefault="00A551B5">
            <w:pPr>
              <w:widowControl w:val="0"/>
            </w:pPr>
            <w:r>
              <w:t>ISPC</w:t>
            </w:r>
          </w:p>
        </w:tc>
        <w:tc>
          <w:tcPr>
            <w:tcW w:w="3192" w:type="dxa"/>
          </w:tcPr>
          <w:p w:rsidR="00DA1F6F" w:rsidRDefault="00C5594A">
            <w:pPr>
              <w:widowControl w:val="0"/>
            </w:pPr>
            <w:r>
              <w:t>7/15/2018</w:t>
            </w:r>
          </w:p>
        </w:tc>
        <w:tc>
          <w:tcPr>
            <w:tcW w:w="3192" w:type="dxa"/>
          </w:tcPr>
          <w:p w:rsidR="00DA1F6F" w:rsidRDefault="00C5594A">
            <w:pPr>
              <w:widowControl w:val="0"/>
            </w:pPr>
            <w:r>
              <w:t>8/1/2018</w:t>
            </w:r>
          </w:p>
        </w:tc>
      </w:tr>
      <w:tr w:rsidR="00DA1F6F">
        <w:tc>
          <w:tcPr>
            <w:tcW w:w="3192" w:type="dxa"/>
          </w:tcPr>
          <w:p w:rsidR="00DA1F6F" w:rsidRDefault="00A551B5">
            <w:pPr>
              <w:widowControl w:val="0"/>
            </w:pPr>
            <w:r>
              <w:t>CEO</w:t>
            </w:r>
          </w:p>
        </w:tc>
        <w:tc>
          <w:tcPr>
            <w:tcW w:w="3192" w:type="dxa"/>
          </w:tcPr>
          <w:p w:rsidR="00DA1F6F" w:rsidRDefault="00C5594A">
            <w:pPr>
              <w:widowControl w:val="0"/>
            </w:pPr>
            <w:r>
              <w:t>1/21/2019</w:t>
            </w:r>
          </w:p>
        </w:tc>
        <w:tc>
          <w:tcPr>
            <w:tcW w:w="3192" w:type="dxa"/>
          </w:tcPr>
          <w:p w:rsidR="00DA1F6F" w:rsidRDefault="00C5594A">
            <w:pPr>
              <w:widowControl w:val="0"/>
            </w:pPr>
            <w:r>
              <w:t>1/22/2019</w:t>
            </w:r>
          </w:p>
        </w:tc>
      </w:tr>
      <w:tr w:rsidR="00DA1F6F">
        <w:tc>
          <w:tcPr>
            <w:tcW w:w="3192" w:type="dxa"/>
          </w:tcPr>
          <w:p w:rsidR="00DA1F6F" w:rsidRDefault="00A551B5">
            <w:pPr>
              <w:widowControl w:val="0"/>
            </w:pPr>
            <w:r>
              <w:t>Corporate CISO</w:t>
            </w:r>
          </w:p>
        </w:tc>
        <w:tc>
          <w:tcPr>
            <w:tcW w:w="3192" w:type="dxa"/>
          </w:tcPr>
          <w:p w:rsidR="00DA1F6F" w:rsidRDefault="00C5594A">
            <w:pPr>
              <w:widowControl w:val="0"/>
            </w:pPr>
            <w:r>
              <w:t>1/23/2019</w:t>
            </w:r>
          </w:p>
        </w:tc>
        <w:tc>
          <w:tcPr>
            <w:tcW w:w="3192" w:type="dxa"/>
          </w:tcPr>
          <w:p w:rsidR="00DA1F6F" w:rsidRDefault="00C5594A">
            <w:pPr>
              <w:widowControl w:val="0"/>
            </w:pPr>
            <w:r>
              <w:t>1/23/2019</w:t>
            </w:r>
          </w:p>
        </w:tc>
      </w:tr>
    </w:tbl>
    <w:p w:rsidR="00DA1F6F" w:rsidRDefault="00A551B5">
      <w:pPr>
        <w:pStyle w:val="Heading1"/>
        <w:keepNext w:val="0"/>
        <w:keepLines w:val="0"/>
        <w:widowControl w:val="0"/>
      </w:pPr>
      <w:bookmarkStart w:id="6" w:name="_Toc314856917"/>
      <w:r>
        <w:t>Purpose</w:t>
      </w:r>
    </w:p>
    <w:p w:rsidR="00DA1F6F" w:rsidRDefault="00A551B5">
      <w:pPr>
        <w:widowControl w:val="0"/>
      </w:pPr>
      <w:r>
        <w:rPr>
          <w:rFonts w:ascii="Times New Roman" w:eastAsia="MS Mincho" w:hAnsi="Times New Roman"/>
          <w:sz w:val="24"/>
          <w:szCs w:val="24"/>
        </w:rPr>
        <w:t>T</w:t>
      </w:r>
      <w:r>
        <w:t xml:space="preserve">he purpose of this policy is to balance the needs of HAL, Inc. </w:t>
      </w:r>
      <w:r>
        <w:t>to protect the staff and visitors in their workplace as well as the assets of the firm against the individual rights to privacy of the staff and visitors. This is done while adhering to the Personal Information Protection Act (PIPA).</w:t>
      </w:r>
    </w:p>
    <w:p w:rsidR="00DA1F6F" w:rsidRDefault="00A551B5">
      <w:pPr>
        <w:pStyle w:val="Heading1"/>
        <w:keepNext w:val="0"/>
        <w:keepLines w:val="0"/>
        <w:widowControl w:val="0"/>
      </w:pPr>
      <w:r>
        <w:t>Scope</w:t>
      </w:r>
      <w:r>
        <w:br/>
      </w:r>
      <w:r>
        <w:br/>
      </w:r>
    </w:p>
    <w:p w:rsidR="00DA1F6F" w:rsidRDefault="00A551B5">
      <w:pPr>
        <w:pStyle w:val="Heading2"/>
        <w:keepNext w:val="0"/>
        <w:keepLines w:val="0"/>
        <w:widowControl w:val="0"/>
      </w:pPr>
      <w:r>
        <w:lastRenderedPageBreak/>
        <w:t>Applicability</w:t>
      </w:r>
    </w:p>
    <w:p w:rsidR="00DA1F6F" w:rsidRDefault="00A551B5">
      <w:pPr>
        <w:widowControl w:val="0"/>
      </w:pPr>
      <w:r>
        <w:t>This policy applies to all HAL employees and affiliates at all HAL facilities and locations world-wide.</w:t>
      </w:r>
    </w:p>
    <w:p w:rsidR="00DA1F6F" w:rsidRDefault="00A551B5">
      <w:pPr>
        <w:pStyle w:val="Heading2"/>
        <w:keepNext w:val="0"/>
        <w:keepLines w:val="0"/>
        <w:widowControl w:val="0"/>
      </w:pPr>
      <w:r>
        <w:t>Ownership</w:t>
      </w:r>
    </w:p>
    <w:p w:rsidR="00DA1F6F" w:rsidRDefault="00A551B5">
      <w:pPr>
        <w:widowControl w:val="0"/>
      </w:pPr>
      <w:r>
        <w:t>This policy is under the direct control of the HAL Corporate CIO with input from other members of management with an interest in the program.</w:t>
      </w:r>
    </w:p>
    <w:p w:rsidR="00DA1F6F" w:rsidRDefault="00A551B5">
      <w:pPr>
        <w:pStyle w:val="Heading1"/>
        <w:keepNext w:val="0"/>
        <w:keepLines w:val="0"/>
        <w:widowControl w:val="0"/>
      </w:pPr>
      <w:r>
        <w:t>Policy</w:t>
      </w:r>
    </w:p>
    <w:p w:rsidR="00DA1F6F" w:rsidRDefault="00A551B5">
      <w:pPr>
        <w:pStyle w:val="Heading2"/>
        <w:keepNext w:val="0"/>
        <w:keepLines w:val="0"/>
        <w:widowControl w:val="0"/>
      </w:pPr>
      <w:r>
        <w:t>General Guidelines</w:t>
      </w:r>
    </w:p>
    <w:p w:rsidR="00DA1F6F" w:rsidRDefault="00A551B5">
      <w:pPr>
        <w:widowControl w:val="0"/>
      </w:pPr>
      <w:r>
        <w:t>The use of video surveillance is a tool to protect property from vandalism and increase the security of staff and tenants. Before utilizing any video surveillance technology, HAL, Inc. will first consider alternative strategies to</w:t>
      </w:r>
      <w:r>
        <w:t xml:space="preserve"> improve the safety and security of staff and visitors. This includes limiting Closed Circuit Television (CCTV) coverage to uses that do not violate people's "reasonable expectation of privacy" as defined by PIPA.</w:t>
      </w:r>
    </w:p>
    <w:p w:rsidR="00DA1F6F" w:rsidRDefault="00A551B5">
      <w:pPr>
        <w:widowControl w:val="0"/>
      </w:pPr>
      <w:r>
        <w:t>HAL, Inc. will, from time to time, impleme</w:t>
      </w:r>
      <w:r>
        <w:t>nt video surveillance technologies on HAL owned or controlled premises as the needs of the organization warrant.  Employment at HAL constitutes to have your work area monitored using video surveillance equipment.</w:t>
      </w:r>
    </w:p>
    <w:bookmarkEnd w:id="6"/>
    <w:p w:rsidR="00DA1F6F" w:rsidRDefault="00A551B5">
      <w:pPr>
        <w:pStyle w:val="Heading1"/>
        <w:keepNext w:val="0"/>
        <w:keepLines w:val="0"/>
        <w:widowControl w:val="0"/>
      </w:pPr>
      <w:r>
        <w:t>Enforcement</w:t>
      </w:r>
    </w:p>
    <w:p w:rsidR="00DA1F6F" w:rsidRDefault="00A551B5">
      <w:pPr>
        <w:widowControl w:val="0"/>
      </w:pPr>
      <w:r>
        <w:t>Any employee found to be in vio</w:t>
      </w:r>
      <w:r>
        <w:t>lation this policy may be subject to disciplinary action, up to and including termination of employment.</w:t>
      </w:r>
    </w:p>
    <w:p w:rsidR="00DA1F6F" w:rsidRPr="00C5594A" w:rsidRDefault="00A551B5">
      <w:pPr>
        <w:widowControl w:val="0"/>
        <w:rPr>
          <w:rFonts w:ascii="Times New Roman" w:hAnsi="Times New Roman" w:cs="Times New Roman"/>
          <w:i/>
          <w:sz w:val="24"/>
        </w:rPr>
      </w:pPr>
      <w:bookmarkStart w:id="7" w:name="_GoBack"/>
      <w:r w:rsidRPr="00C5594A">
        <w:rPr>
          <w:rFonts w:ascii="Times New Roman" w:hAnsi="Times New Roman" w:cs="Times New Roman"/>
          <w:i/>
          <w:sz w:val="24"/>
        </w:rPr>
        <w:t>NOTE: As part of the SECCDC event, team sare strongly cautioned NOT to touch or interfere with the operations of any video surveillance technology.</w:t>
      </w:r>
    </w:p>
    <w:bookmarkEnd w:id="7"/>
    <w:p w:rsidR="00DA1F6F" w:rsidRDefault="00DA1F6F">
      <w:pPr>
        <w:widowControl w:val="0"/>
        <w:rPr>
          <w:rFonts w:ascii="Times New Roman" w:hAnsi="Times New Roman" w:cs="Times New Roman"/>
          <w:sz w:val="24"/>
        </w:rPr>
      </w:pPr>
    </w:p>
    <w:sectPr w:rsidR="00DA1F6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1B5" w:rsidRDefault="00A551B5">
      <w:pPr>
        <w:spacing w:after="0" w:line="240" w:lineRule="auto"/>
      </w:pPr>
      <w:r>
        <w:separator/>
      </w:r>
    </w:p>
  </w:endnote>
  <w:endnote w:type="continuationSeparator" w:id="0">
    <w:p w:rsidR="00A551B5" w:rsidRDefault="00A55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DA1F6F">
      <w:tc>
        <w:tcPr>
          <w:tcW w:w="918" w:type="dxa"/>
        </w:tcPr>
        <w:p w:rsidR="00DA1F6F" w:rsidRDefault="00A551B5">
          <w:pPr>
            <w:pStyle w:val="Footer"/>
            <w:jc w:val="right"/>
            <w:rPr>
              <w:b/>
              <w:color w:val="4F81BD" w:themeColor="accent1"/>
              <w:sz w:val="32"/>
              <w:szCs w:val="32"/>
            </w:rPr>
          </w:pPr>
          <w:r>
            <w:fldChar w:fldCharType="begin"/>
          </w:r>
          <w:r>
            <w:instrText xml:space="preserve"> PAGE   \* MERGEFORMAT </w:instrText>
          </w:r>
          <w:r>
            <w:fldChar w:fldCharType="separate"/>
          </w:r>
          <w:r w:rsidR="00C5594A" w:rsidRPr="00C5594A">
            <w:rPr>
              <w:b/>
              <w:noProof/>
              <w:color w:val="4F81BD" w:themeColor="accent1"/>
              <w:sz w:val="32"/>
              <w:szCs w:val="32"/>
            </w:rPr>
            <w:t>2</w:t>
          </w:r>
          <w:r>
            <w:rPr>
              <w:b/>
              <w:noProof/>
              <w:color w:val="4F81BD" w:themeColor="accent1"/>
              <w:sz w:val="32"/>
              <w:szCs w:val="32"/>
            </w:rPr>
            <w:fldChar w:fldCharType="end"/>
          </w:r>
        </w:p>
      </w:tc>
      <w:tc>
        <w:tcPr>
          <w:tcW w:w="7938" w:type="dxa"/>
        </w:tcPr>
        <w:p w:rsidR="00DA1F6F" w:rsidRDefault="00A551B5">
          <w:pPr>
            <w:pStyle w:val="Footer"/>
          </w:pPr>
          <w:r>
            <w:t>Video Surveillance Policy</w:t>
          </w:r>
        </w:p>
      </w:tc>
    </w:tr>
  </w:tbl>
  <w:p w:rsidR="00DA1F6F" w:rsidRDefault="00DA1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1B5" w:rsidRDefault="00A551B5">
      <w:pPr>
        <w:spacing w:after="0" w:line="240" w:lineRule="auto"/>
      </w:pPr>
      <w:r>
        <w:separator/>
      </w:r>
    </w:p>
  </w:footnote>
  <w:footnote w:type="continuationSeparator" w:id="0">
    <w:p w:rsidR="00A551B5" w:rsidRDefault="00A55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700"/>
      <w:gridCol w:w="4660"/>
    </w:tblGrid>
    <w:tr w:rsidR="00DA1F6F">
      <w:trPr>
        <w:trHeight w:val="288"/>
      </w:trPr>
      <w:tc>
        <w:tcPr>
          <w:tcW w:w="4795" w:type="dxa"/>
          <w:vAlign w:val="center"/>
        </w:tcPr>
        <w:p w:rsidR="00DA1F6F" w:rsidRDefault="00A551B5">
          <w:pPr>
            <w:pStyle w:val="Header"/>
            <w:jc w:val="center"/>
            <w:rPr>
              <w:rFonts w:asciiTheme="majorHAnsi" w:eastAsiaTheme="majorEastAsia" w:hAnsiTheme="majorHAnsi" w:cstheme="majorBidi"/>
              <w:sz w:val="36"/>
              <w:szCs w:val="36"/>
            </w:rPr>
          </w:pPr>
          <w:r>
            <w:rPr>
              <w:noProof/>
            </w:rPr>
            <w:drawing>
              <wp:inline distT="0" distB="0" distL="0" distR="0">
                <wp:extent cx="1771650" cy="12598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771650" cy="1259840"/>
                        </a:xfrm>
                        <a:prstGeom prst="rect">
                          <a:avLst/>
                        </a:prstGeom>
                      </pic:spPr>
                    </pic:pic>
                  </a:graphicData>
                </a:graphic>
              </wp:inline>
            </w:drawing>
          </w:r>
        </w:p>
      </w:tc>
      <w:tc>
        <w:tcPr>
          <w:tcW w:w="4795" w:type="dxa"/>
          <w:vAlign w:val="center"/>
        </w:tcPr>
        <w:p w:rsidR="00DA1F6F" w:rsidRDefault="00A551B5">
          <w:pPr>
            <w:pStyle w:val="Header"/>
            <w:jc w:val="center"/>
            <w:rPr>
              <w:rFonts w:asciiTheme="majorHAnsi" w:eastAsiaTheme="majorEastAsia" w:hAnsiTheme="majorHAnsi" w:cstheme="majorBidi"/>
              <w:b/>
              <w:bCs/>
              <w:color w:val="4F81BD" w:themeColor="accent1"/>
              <w:sz w:val="36"/>
              <w:szCs w:val="36"/>
            </w:rPr>
          </w:pPr>
          <w:r>
            <w:rPr>
              <w:b/>
              <w:sz w:val="24"/>
            </w:rPr>
            <w:t>HAL Policy</w:t>
          </w:r>
          <w:r>
            <w:rPr>
              <w:b/>
              <w:sz w:val="24"/>
            </w:rPr>
            <w:br/>
          </w:r>
          <w:r>
            <w:rPr>
              <w:b/>
              <w:sz w:val="24"/>
            </w:rPr>
            <w:br/>
          </w:r>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Pr>
                  <w:rFonts w:asciiTheme="majorHAnsi" w:eastAsiaTheme="majorEastAsia" w:hAnsiTheme="majorHAnsi" w:cstheme="majorBidi"/>
                  <w:b/>
                  <w:bCs/>
                  <w:color w:val="4F81BD" w:themeColor="accent1"/>
                  <w:sz w:val="36"/>
                  <w:szCs w:val="36"/>
                </w:rPr>
                <w:t>Video Surveillance</w:t>
              </w:r>
            </w:sdtContent>
          </w:sdt>
          <w:r>
            <w:rPr>
              <w:rFonts w:asciiTheme="majorHAnsi" w:eastAsiaTheme="majorEastAsia" w:hAnsiTheme="majorHAnsi" w:cstheme="majorBidi"/>
              <w:b/>
              <w:bCs/>
              <w:color w:val="4F81BD" w:themeColor="accent1"/>
              <w:sz w:val="36"/>
              <w:szCs w:val="36"/>
            </w:rPr>
            <w:t xml:space="preserve"> </w:t>
          </w:r>
        </w:p>
      </w:tc>
    </w:tr>
  </w:tbl>
  <w:p w:rsidR="00DA1F6F" w:rsidRDefault="00DA1F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2"/>
  </w:num>
  <w:num w:numId="8">
    <w:abstractNumId w:val="6"/>
  </w:num>
  <w:num w:numId="9">
    <w:abstractNumId w:val="8"/>
  </w:num>
  <w:num w:numId="10">
    <w:abstractNumId w:val="7"/>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6F"/>
    <w:rsid w:val="00A551B5"/>
    <w:rsid w:val="00C5594A"/>
    <w:rsid w:val="00DA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1CC8"/>
  <w15:docId w15:val="{B9B4811D-C73D-400E-8585-931F372F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Video Surveillance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79991-2330-4AD2-9828-305A22C3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8</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6</cp:revision>
  <dcterms:created xsi:type="dcterms:W3CDTF">2015-02-14T07:33:00Z</dcterms:created>
  <dcterms:modified xsi:type="dcterms:W3CDTF">2019-01-30T21:38:00Z</dcterms:modified>
</cp:coreProperties>
</file>