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Экспертно-криминалистическое подразделение</w:t>
      </w:r>
    </w:p>
    <w:p>
      <w:r>
        <w:rPr>
          <w:b/>
        </w:rPr>
        <w:t>ПОДПИСКА</w:t>
      </w:r>
    </w:p>
    <w:p>
      <w:r>
        <w:t>Эксперту разъяснены права и обязанности, предусмотренные процессуальным законодательством. Об ответственности за дачу заведомо ложного заключения по ст. 307 УК РФ эксперт предупреждён.</w:t>
      </w:r>
    </w:p>
    <w:p>
      <w:r>
        <w:t>Эксперт: ________________________</w:t>
      </w:r>
    </w:p>
    <w:p>
      <w:pPr>
        <w:jc w:val="center"/>
      </w:pPr>
      <w:r>
        <w:rPr>
          <w:b/>
        </w:rPr>
        <w:t>ЗАКЛЮЧЕНИЕ ЭКСПЕРТА № 2026-001</w:t>
      </w:r>
    </w:p>
    <w:p>
      <w:r>
        <w:t>г. Москва</w:t>
      </w:r>
    </w:p>
    <w:p>
      <w:pPr>
        <w:pStyle w:val="Heading2"/>
      </w:pPr>
      <w:r>
        <w:t>Вводная часть</w:t>
      </w:r>
    </w:p>
    <w:p>
      <w:r>
        <w:t>Эксперт: ________________________ (высшее филологическое образование, экспертная специальность «Автороведческая экспертиза»).</w:t>
      </w:r>
    </w:p>
    <w:p>
      <w:r>
        <w:t>Основание производства экспертизы: постановление о назначении судебной автороведческой экспертизы.</w:t>
      </w:r>
    </w:p>
    <w:p>
      <w:r>
        <w:t>Дело №: ________________.</w:t>
      </w:r>
    </w:p>
    <w:p>
      <w:r>
        <w:t>Обстоятельства дела известны эксперту из постановления о назначении экспертизы.</w:t>
      </w:r>
    </w:p>
    <w:p>
      <w:pPr>
        <w:pStyle w:val="Heading2"/>
      </w:pPr>
      <w:r>
        <w:t>На экспертизу представлены</w:t>
      </w:r>
    </w:p>
    <w:p>
      <w:r>
        <w:t>• 695148.txt — спорный текст; объём 1503 слов.</w:t>
      </w:r>
    </w:p>
    <w:p>
      <w:r>
        <w:t>• 1047400.txt — образец; объём 1745 слов.</w:t>
      </w:r>
    </w:p>
    <w:p>
      <w:r>
        <w:t>• 1047806.txt — образец; объём 1430 слов.</w:t>
      </w:r>
    </w:p>
    <w:p>
      <w:r>
        <w:t>• 1048320.txt — образец; объём 983 слов.</w:t>
      </w:r>
    </w:p>
    <w:p>
      <w:r>
        <w:t>• 1048392.txt — образец; объём 600 слов.</w:t>
      </w:r>
    </w:p>
    <w:p>
      <w:pPr>
        <w:pStyle w:val="Heading2"/>
      </w:pPr>
      <w:r>
        <w:t>Вопрос, поставленный на разрешение экспертизы</w:t>
      </w:r>
    </w:p>
    <w:p>
      <w:r>
        <w:t>Выполнены ли представленный спорный текст и тексты-образцы одним и тем же лицом?</w:t>
      </w:r>
    </w:p>
    <w:p>
      <w:pPr>
        <w:pStyle w:val="Heading1"/>
      </w:pPr>
      <w:r>
        <w:t>ИССЛЕДОВАНИЕ</w:t>
      </w:r>
    </w:p>
    <w:p>
      <w:r>
        <w:t>Исследование проведено по комплексной методике производства судебно-автороведческих экспертиз в четыре стадии: оценка пригодности объектов; раздельное исследование; сравнительное исследование по трём уровням индивидуализации навыка (НН, НС, НСВ); оценка совокупности признаков.</w:t>
      </w:r>
    </w:p>
    <w:p>
      <w:r>
        <w:t>Методическая основа: Рубцова И.И., Ермолова Е.И., Безрукова А.И. и др. Комплексная методика производства судебно-автороведческих экспертиз. — М.: ЭКЦ МВД России, 2007.</w:t>
      </w:r>
    </w:p>
    <w:p>
      <w:pPr>
        <w:pStyle w:val="Heading2"/>
      </w:pPr>
      <w:r>
        <w:t>Стадия 1. Оценка пригодности объектов</w:t>
      </w:r>
    </w:p>
    <w:p>
      <w:r>
        <w:t>Объём спорного материала — 1503 слов; образцов — 4758 слов; соотношение ×3.2.</w:t>
      </w:r>
    </w:p>
    <w:p>
      <w:r>
        <w:t>• объём образцов 4758 слов даёт соотношение ×3.2 (методика рекомендует ≥×10 от спорного текста)</w:t>
      </w:r>
    </w:p>
    <w:p>
      <w:pPr>
        <w:pStyle w:val="Heading2"/>
      </w:pPr>
      <w:r>
        <w:t>Стадия 3. Сравнительное исследование</w:t>
      </w:r>
    </w:p>
    <w:p>
      <w:r>
        <w:t>Сопоставление моделей навыка спорного текста и образцов по уровням индивидуализации. Совпадающие и различающиеся признаки: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Совпадения</w:t>
            </w:r>
          </w:p>
        </w:tc>
        <w:tc>
          <w:tcPr>
            <w:tcW w:type="dxa" w:w="2160"/>
          </w:tcPr>
          <w:p>
            <w:r>
              <w:t>Различия</w:t>
            </w:r>
          </w:p>
        </w:tc>
        <w:tc>
          <w:tcPr>
            <w:tcW w:type="dxa" w:w="2160"/>
          </w:tcPr>
          <w:p>
            <w:r>
              <w:t>Высокоинф. совпадения</w:t>
            </w:r>
          </w:p>
        </w:tc>
      </w:tr>
      <w:tr>
        <w:tc>
          <w:tcPr>
            <w:tcW w:type="dxa" w:w="2160"/>
          </w:tcPr>
          <w:p>
            <w:r>
              <w:t>Уровень НН (набор норм)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Уровень НС (набор свойств норм)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Уровень НСВ (набор средств выражения свойств норм)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3"/>
      </w:pPr>
      <w:r>
        <w:t>Уровень НН (набор норм)</w:t>
      </w:r>
    </w:p>
    <w:p>
      <w:r>
        <w:t>Совпадающие признаки: Политическая направленность текста; Военная направленность текста; Преимущественное использование официально-делового стиля речи; Преимущественное использование научного стиля речи; Преимущественное использование ораторского стиля речи; Преимущественное использование разговорного стиля речи; Эмоциональность речи в целом</w:t>
      </w:r>
    </w:p>
    <w:p>
      <w:r>
        <w:t>Различающиеся признаки: Особенности, характерные для другого языка (приставка «от» вместо «о», удвоение «сс»); Владение русским языком на уровне вуза гуманитарной направленности; Преимущественное использование публицистического стиля речи</w:t>
      </w:r>
    </w:p>
    <w:p>
      <w:pPr>
        <w:pStyle w:val="Heading3"/>
      </w:pPr>
      <w:r>
        <w:t>Уровень НС (набор свойств норм)</w:t>
      </w:r>
    </w:p>
    <w:p>
      <w:r>
        <w:t>Совпадающие признаки: Частое использование лексики с временным значением («до настоящего времени», «иногда»); Частое использование лексики с указательным значением («этот», «там»); Частое использование медицинской лексики («реанимация», «инфаркт»); Преимущественное использование финансовой лексики («бюджет», «капитал», «кредит»); Инверсия существительного в родительном падеже; Инверсия наречия относительно глагола, прилагательного относительно существительного; Частое/редкое использование именных словосочетаний; Частое использование наречных словосочетаний; Частое/редкое использование конструкций с согласованием; Преобладание конструкций с управлением; Частое использование сложных словосочетаний; Высокая/низкая степень распространённости предложений и ещё 8</w:t>
      </w:r>
    </w:p>
    <w:p>
      <w:r>
        <w:t>Различающиеся признаки: Оценочная лексика «истинность/мнимость» («правильно», «точно», «ложно»); Лексика, выражающая отношение к сообщаемому («по-моему», «я считаю»); Использование субститутов и штампов официально-делового стиля; Развитая система распространения структурных схем, обилие уточняющих оборотов; Преобладание бессоюзных предложений</w:t>
      </w:r>
    </w:p>
    <w:p>
      <w:pPr>
        <w:pStyle w:val="Heading3"/>
      </w:pPr>
      <w:r>
        <w:t>Уровень НСВ (набор средств выражения свойств норм)</w:t>
      </w:r>
    </w:p>
    <w:p>
      <w:r>
        <w:t>Совпадающие признаки: Частое употребление союзов («и», «но»), союзных слов («чтобы», «как») как средства связи; Двоеточие и тире для выражения логического отношения между частями предложений; Слова, подчёркивающие логику построения высказывания («в частности», «следовательно», «итак»); Частое употребление слов «труд» и «работа» как синонимов; Отглагольные существительные («вовлечение», «постановление»); Глаголы с частицей «-ся» («осуществляется», «производится»); Субституты официально-делового стиля («вышеизложенный», «данный», «настоящий»); Сокращения территориальных/производственных единиц («гор.», «обл.», «р-н», «ул.»); Инициальные аббревиатуры («МИД», «ЗАГС», «ГОСТ»); Специальные научные термины («лингвистика», «идентификация», «языкознание»); Существительные, образованные от глаголов («анализ», «влияние», «распад»); Частое использование связочных глаголов («называться», «считаться», «являться») и ещё 13</w:t>
      </w:r>
    </w:p>
    <w:p>
      <w:r>
        <w:t>Различающиеся признаки: Оценочная лексика «истинность/мнимость»; Лексика парадигмы «борьба» («схватка», «битва», «противостояние»); Слова со значением «отношение к сообщаемому» («истинно», «несомненно», «возможно», «видимо»); Штампы официально-делового стиля («принять меры», «в соответствии с», «в целях»); Сокращения должностей и званий («акад.», «проф.», «зав.», «зам.»); Сокращения дат и календарных сроков («м-ц», «г.г.»); Сокращения, называющие документы («тов. накл.», «расч. счёт»); Сокращённые союзы («т. е.», «т. о.», «т. н.»); Повторение частицы «бы» в придаточных с условно-сослагательным сказуемым</w:t>
      </w:r>
    </w:p>
    <w:p>
      <w:pPr>
        <w:pStyle w:val="Heading1"/>
      </w:pPr>
      <w:r>
        <w:t>ВЫВОДЫ</w:t>
      </w:r>
    </w:p>
    <w:p>
      <w:r>
        <w:rPr>
          <w:b/>
        </w:rPr>
        <w:t>Спорный текст и тексты-образцы, вероятно, выполнены разными лицами (вероятный отрицательный вывод).</w:t>
      </w:r>
    </w:p>
    <w:p>
      <w:r>
        <w:t>Высокоинформативных совпадений: 25 (порог методики — 20). Высокоинформативных различий: 9.</w:t>
      </w:r>
    </w:p>
    <w:p>
      <w:pPr>
        <w:pStyle w:val="Heading2"/>
      </w:pPr>
      <w:r>
        <w:t>Обоснование</w:t>
      </w:r>
    </w:p>
    <w:p>
      <w:r>
        <w:t>• Различия наблюдаются и на уровне НСВ (9), и на уровне НС (5). Это основание для отрицательного вывода в вероятной форме.</w:t>
      </w:r>
    </w:p>
    <w:p/>
    <w:p>
      <w:r>
        <w:t>Выводы носят вспомогательный характер; окончательная оценка совокупности признаков и формулирование вывода относятся к компетенции эксперта.</w:t>
      </w:r>
    </w:p>
    <w:p>
      <w:r>
        <w:t>Эксперт: ________________________ / подпись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