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335"/>
        <w15:color w:val="DBDBDB"/>
        <w:docPartObj>
          <w:docPartGallery w:val="Table of Contents"/>
          <w:docPartUnique/>
        </w:docPartObj>
      </w:sdtPr>
      <w:sdtEndPr>
        <w:rPr>
          <w:rFonts w:hint="default" w:ascii="Calibri" w:hAnsi="Calibri" w:cs="Calibri" w:eastAsiaTheme="minorEastAsia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TOC \o "1-3" \h \u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 HYPERLINK \l _Toc20281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default" w:ascii="Calibri" w:hAnsi="Calibri" w:cs="Calibri"/>
              <w:lang w:val="en-US" w:eastAsia="zh-CN"/>
            </w:rPr>
            <w:t>1 Network Premissioning</w:t>
          </w:r>
          <w:r>
            <w:tab/>
          </w:r>
          <w:r>
            <w:fldChar w:fldCharType="begin"/>
          </w:r>
          <w:r>
            <w:instrText xml:space="preserve"> PAGEREF _Toc20281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 HYPERLINK \l _Toc27867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default" w:ascii="Calibri" w:hAnsi="Calibri" w:cs="Calibri"/>
              <w:lang w:val="en-US" w:eastAsia="zh-CN"/>
            </w:rPr>
            <w:t>1.1 N</w:t>
          </w:r>
          <w:r>
            <w:rPr>
              <w:rFonts w:hint="default" w:ascii="Calibri" w:hAnsi="Calibri" w:cs="Calibri"/>
            </w:rPr>
            <w:t>etwork</w:t>
          </w:r>
          <w:r>
            <w:tab/>
          </w:r>
          <w:r>
            <w:fldChar w:fldCharType="begin"/>
          </w:r>
          <w:r>
            <w:instrText xml:space="preserve"> PAGEREF _Toc27867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 HYPERLINK \l _Toc24694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1.1.1 How to obtain Bytecode?</w:t>
          </w:r>
          <w:r>
            <w:tab/>
          </w:r>
          <w:r>
            <w:fldChar w:fldCharType="begin"/>
          </w:r>
          <w:r>
            <w:instrText xml:space="preserve"> PAGEREF _Toc24694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 HYPERLINK \l _Toc27662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1.1.2 Test if network authorization works</w:t>
          </w:r>
          <w:r>
            <w:tab/>
          </w:r>
          <w:r>
            <w:fldChar w:fldCharType="begin"/>
          </w:r>
          <w:r>
            <w:instrText xml:space="preserve"> PAGEREF _Toc27662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 HYPERLINK \l _Toc29242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1.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default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Transaction</w:t>
          </w:r>
          <w:r>
            <w:tab/>
          </w:r>
          <w:r>
            <w:fldChar w:fldCharType="begin"/>
          </w:r>
          <w:r>
            <w:instrText xml:space="preserve"> PAGEREF _Toc29242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 HYPERLINK \l _Toc4170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1.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Validator Set</w:t>
          </w:r>
          <w:r>
            <w:tab/>
          </w:r>
          <w:r>
            <w:fldChar w:fldCharType="begin"/>
          </w:r>
          <w:r>
            <w:instrText xml:space="preserve"> PAGEREF _Toc4170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Calibri" w:hAnsi="Calibri" w:cs="Calibri"/>
              <w:lang w:val="en-US" w:eastAsia="zh-CN"/>
            </w:rPr>
            <w:fldChar w:fldCharType="begin"/>
          </w:r>
          <w:r>
            <w:rPr>
              <w:rFonts w:hint="default" w:ascii="Calibri" w:hAnsi="Calibri" w:cs="Calibri"/>
              <w:lang w:val="en-US" w:eastAsia="zh-CN"/>
            </w:rPr>
            <w:instrText xml:space="preserve"> HYPERLINK \l _Toc25103 </w:instrText>
          </w:r>
          <w:r>
            <w:rPr>
              <w:rFonts w:hint="default" w:ascii="Calibri" w:hAnsi="Calibri" w:cs="Calibri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1.3.1 How to upgrade smartcontract(smartcontract is not immutable)</w:t>
          </w:r>
          <w:r>
            <w:tab/>
          </w:r>
          <w:r>
            <w:fldChar w:fldCharType="begin"/>
          </w:r>
          <w:r>
            <w:instrText xml:space="preserve"> PAGEREF _Toc25103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</w:p>
        <w:p>
          <w:pPr>
            <w:pStyle w:val="2"/>
            <w:bidi w:val="0"/>
            <w:rPr>
              <w:rFonts w:hint="default" w:ascii="Calibri" w:hAnsi="Calibri" w:cs="Calibri" w:eastAsiaTheme="minorEastAsia"/>
              <w:b/>
              <w:kern w:val="44"/>
              <w:sz w:val="44"/>
              <w:szCs w:val="24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default" w:ascii="Calibri" w:hAnsi="Calibri" w:cs="Calibri"/>
              <w:lang w:val="en-US" w:eastAsia="zh-CN"/>
            </w:rPr>
            <w:fldChar w:fldCharType="end"/>
          </w:r>
          <w:bookmarkStart w:id="7" w:name="_GoBack"/>
          <w:bookmarkEnd w:id="7"/>
        </w:p>
      </w:sdtContent>
    </w:sdt>
    <w:p>
      <w:pPr>
        <w:pStyle w:val="2"/>
        <w:bidi w:val="0"/>
        <w:rPr>
          <w:rFonts w:hint="default" w:ascii="Calibri" w:hAnsi="Calibri" w:cs="Calibri"/>
          <w:lang w:val="en-US" w:eastAsia="zh-CN"/>
        </w:rPr>
      </w:pPr>
    </w:p>
    <w:p>
      <w:pPr>
        <w:pStyle w:val="2"/>
        <w:bidi w:val="0"/>
        <w:rPr>
          <w:rFonts w:hint="default" w:ascii="Calibri" w:hAnsi="Calibri" w:cs="Calibri"/>
          <w:lang w:val="en-US" w:eastAsia="zh-CN"/>
        </w:rPr>
      </w:pPr>
      <w:bookmarkStart w:id="0" w:name="_Toc20281"/>
      <w:r>
        <w:rPr>
          <w:rFonts w:hint="default" w:ascii="Calibri" w:hAnsi="Calibri" w:cs="Calibri"/>
          <w:lang w:val="en-US" w:eastAsia="zh-CN"/>
        </w:rPr>
        <w:t>1 Network Premissioning</w:t>
      </w:r>
      <w:bookmarkEnd w:id="0"/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OpenEthereum provides a number of features which enable the network participants to permission different aspects of a blockchain. Often conflated as simply “permissioned blockchains” we introduce permissions on a number of different layers: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color w:val="FF0000"/>
        </w:rPr>
      </w:pPr>
      <w:r>
        <w:rPr>
          <w:rFonts w:hint="default" w:ascii="Calibri" w:hAnsi="Calibri" w:cs="Calibri"/>
          <w:color w:val="FF0000"/>
        </w:rPr>
        <w:fldChar w:fldCharType="begin"/>
      </w:r>
      <w:r>
        <w:rPr>
          <w:rFonts w:hint="default" w:ascii="Calibri" w:hAnsi="Calibri" w:cs="Calibri"/>
          <w:color w:val="FF0000"/>
        </w:rPr>
        <w:instrText xml:space="preserve"> HYPERLINK "https://openethereum.github.io/Permissioning" \l "network" </w:instrText>
      </w:r>
      <w:r>
        <w:rPr>
          <w:rFonts w:hint="default" w:ascii="Calibri" w:hAnsi="Calibri" w:cs="Calibri"/>
          <w:color w:val="FF0000"/>
        </w:rPr>
        <w:fldChar w:fldCharType="separate"/>
      </w:r>
      <w:r>
        <w:rPr>
          <w:rStyle w:val="12"/>
          <w:rFonts w:hint="default" w:ascii="Calibri" w:hAnsi="Calibri" w:cs="Calibri"/>
          <w:color w:val="FF0000"/>
        </w:rPr>
        <w:t>Network</w:t>
      </w:r>
      <w:r>
        <w:rPr>
          <w:rFonts w:hint="default" w:ascii="Calibri" w:hAnsi="Calibri" w:cs="Calibri"/>
          <w:color w:val="FF000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color w:val="FF0000"/>
        </w:rPr>
      </w:pPr>
      <w:r>
        <w:rPr>
          <w:rFonts w:hint="default" w:ascii="Calibri" w:hAnsi="Calibri" w:cs="Calibri"/>
          <w:color w:val="FF0000"/>
        </w:rPr>
        <w:fldChar w:fldCharType="begin"/>
      </w:r>
      <w:r>
        <w:rPr>
          <w:rFonts w:hint="default" w:ascii="Calibri" w:hAnsi="Calibri" w:cs="Calibri"/>
          <w:color w:val="FF0000"/>
        </w:rPr>
        <w:instrText xml:space="preserve"> HYPERLINK "https://openethereum.github.io/Permissioning" \l "transaction-type" </w:instrText>
      </w:r>
      <w:r>
        <w:rPr>
          <w:rFonts w:hint="default" w:ascii="Calibri" w:hAnsi="Calibri" w:cs="Calibri"/>
          <w:color w:val="FF0000"/>
        </w:rPr>
        <w:fldChar w:fldCharType="separate"/>
      </w:r>
      <w:r>
        <w:rPr>
          <w:rStyle w:val="12"/>
          <w:rFonts w:hint="default" w:ascii="Calibri" w:hAnsi="Calibri" w:cs="Calibri"/>
          <w:color w:val="FF0000"/>
        </w:rPr>
        <w:t>Transaction type</w:t>
      </w:r>
      <w:r>
        <w:rPr>
          <w:rFonts w:hint="default" w:ascii="Calibri" w:hAnsi="Calibri" w:cs="Calibri"/>
          <w:color w:val="FF000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color w:val="FF0000"/>
        </w:rPr>
      </w:pPr>
      <w:r>
        <w:rPr>
          <w:rFonts w:hint="default" w:ascii="Calibri" w:hAnsi="Calibri" w:cs="Calibri"/>
          <w:color w:val="FF0000"/>
        </w:rPr>
        <w:fldChar w:fldCharType="begin"/>
      </w:r>
      <w:r>
        <w:rPr>
          <w:rFonts w:hint="default" w:ascii="Calibri" w:hAnsi="Calibri" w:cs="Calibri"/>
          <w:color w:val="FF0000"/>
        </w:rPr>
        <w:instrText xml:space="preserve"> HYPERLINK "https://openethereum.github.io/Permissioning" \l "validator-set" </w:instrText>
      </w:r>
      <w:r>
        <w:rPr>
          <w:rFonts w:hint="default" w:ascii="Calibri" w:hAnsi="Calibri" w:cs="Calibri"/>
          <w:color w:val="FF0000"/>
        </w:rPr>
        <w:fldChar w:fldCharType="separate"/>
      </w:r>
      <w:r>
        <w:rPr>
          <w:rStyle w:val="12"/>
          <w:rFonts w:hint="default" w:ascii="Calibri" w:hAnsi="Calibri" w:cs="Calibri"/>
          <w:color w:val="FF0000"/>
        </w:rPr>
        <w:t>Validator set</w:t>
      </w:r>
      <w:r>
        <w:rPr>
          <w:rFonts w:hint="default" w:ascii="Calibri" w:hAnsi="Calibri" w:cs="Calibri"/>
          <w:color w:val="FF000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"https://openethereum.github.io/Permissioning" \l "gas-price" </w:instrText>
      </w:r>
      <w:r>
        <w:rPr>
          <w:rFonts w:hint="default" w:ascii="Calibri" w:hAnsi="Calibri" w:cs="Calibri"/>
        </w:rPr>
        <w:fldChar w:fldCharType="separate"/>
      </w:r>
      <w:r>
        <w:rPr>
          <w:rStyle w:val="12"/>
          <w:rFonts w:hint="default" w:ascii="Calibri" w:hAnsi="Calibri" w:cs="Calibri"/>
        </w:rPr>
        <w:t>Gas price</w:t>
      </w:r>
      <w:r>
        <w:rPr>
          <w:rFonts w:hint="default" w:ascii="Calibri" w:hAnsi="Calibri" w:cs="Calibri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"https://openethereum.github.io/Private-Transactions" </w:instrText>
      </w:r>
      <w:r>
        <w:rPr>
          <w:rFonts w:hint="default" w:ascii="Calibri" w:hAnsi="Calibri" w:cs="Calibri"/>
        </w:rPr>
        <w:fldChar w:fldCharType="separate"/>
      </w:r>
      <w:r>
        <w:rPr>
          <w:rStyle w:val="12"/>
          <w:rFonts w:hint="default" w:ascii="Calibri" w:hAnsi="Calibri" w:cs="Calibri"/>
        </w:rPr>
        <w:t>Private transactions</w:t>
      </w:r>
      <w:r>
        <w:rPr>
          <w:rFonts w:hint="default" w:ascii="Calibri" w:hAnsi="Calibri" w:cs="Calibri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Each user can have different permissions on each layer. All permissioning is based on blockchain accounts, which means that permissions always correspond to an address.</w:t>
      </w:r>
    </w:p>
    <w:p>
      <w:pPr>
        <w:pStyle w:val="3"/>
        <w:bidi w:val="0"/>
        <w:rPr>
          <w:rFonts w:hint="default" w:ascii="Calibri" w:hAnsi="Calibri" w:cs="Calibri"/>
          <w:lang w:val="en-US" w:eastAsia="zh-CN"/>
        </w:rPr>
      </w:pPr>
      <w:bookmarkStart w:id="1" w:name="_Toc27867"/>
      <w:r>
        <w:rPr>
          <w:rFonts w:hint="default" w:ascii="Calibri" w:hAnsi="Calibri" w:cs="Calibri"/>
          <w:lang w:val="en-US" w:eastAsia="zh-CN"/>
        </w:rPr>
        <w:t>1.1 N</w:t>
      </w:r>
      <w:r>
        <w:rPr>
          <w:rFonts w:hint="default" w:ascii="Calibri" w:hAnsi="Calibri" w:cs="Calibri"/>
        </w:rPr>
        <w:t>etwork</w:t>
      </w:r>
      <w:bookmarkEnd w:id="1"/>
      <w:r>
        <w:rPr>
          <w:rFonts w:hint="default" w:ascii="Calibri" w:hAnsi="Calibri" w:cs="Calibri"/>
        </w:rPr>
        <w:t xml:space="preserve"> </w:t>
      </w:r>
    </w:p>
    <w:p>
      <w:pPr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Permissions on this layer determine which nodes can connect to the network and interact with others</w:t>
      </w:r>
    </w:p>
    <w:p>
      <w:pPr>
        <w:rPr>
          <w:rFonts w:hint="default" w:ascii="Calibri" w:hAnsi="Calibri" w:eastAsia="宋体" w:cs="Calibri"/>
          <w:sz w:val="24"/>
          <w:szCs w:val="24"/>
        </w:rPr>
      </w:pP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153025" cy="1676400"/>
            <wp:effectExtent l="0" t="0" r="9525" b="0"/>
            <wp:docPr id="1" name="图片 1" descr="16099959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9995925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271135" cy="913765"/>
            <wp:effectExtent l="0" t="0" r="5715" b="635"/>
            <wp:docPr id="2" name="图片 2" descr="16099959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999597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Add </w:t>
      </w:r>
      <w:r>
        <w:rPr>
          <w:rStyle w:val="13"/>
          <w:rFonts w:hint="default" w:ascii="Calibri" w:hAnsi="Calibri" w:eastAsia="宋体" w:cs="Calibri"/>
          <w:sz w:val="24"/>
          <w:szCs w:val="24"/>
        </w:rPr>
        <w:t>nodePermissionContract</w:t>
      </w:r>
      <w: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  <w:t xml:space="preserve"> to the params</w:t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  <w:t xml:space="preserve">And add build API to </w:t>
      </w: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constructor</w:t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24694"/>
      <w:r>
        <w:rPr>
          <w:rFonts w:hint="eastAsia"/>
          <w:lang w:val="en-US" w:eastAsia="zh-CN"/>
        </w:rPr>
        <w:t>1.1.1 How to obtain Bytecode?</w:t>
      </w:r>
      <w:bookmarkEnd w:id="2"/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 xml:space="preserve">1, remix 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fldChar w:fldCharType="begin"/>
      </w: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instrText xml:space="preserve"> HYPERLINK "https://remix.ethereum.org/" </w:instrText>
      </w: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eastAsia" w:ascii="Calibri" w:hAnsi="Calibri" w:eastAsia="宋体" w:cs="Calibri"/>
          <w:sz w:val="24"/>
          <w:szCs w:val="24"/>
          <w:lang w:val="en-US" w:eastAsia="zh-CN"/>
        </w:rPr>
        <w:t>https://remix.ethereum.org/</w:t>
      </w: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fldChar w:fldCharType="end"/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 xml:space="preserve">Install remixd: 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npm -i remixd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Init truffle: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mkdir perm_contract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cd perm_contract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Truffle init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Ls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Cd contracts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Start Remixd:</w:t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273040" cy="1369695"/>
            <wp:effectExtent l="0" t="0" r="3810" b="1905"/>
            <wp:docPr id="3" name="图片 3" descr="1610002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000248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Go to remix plugin and click remixd</w:t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2724150" cy="819150"/>
            <wp:effectExtent l="0" t="0" r="0" b="0"/>
            <wp:docPr id="4" name="图片 4" descr="16100025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000254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Start a 5 node network and obtain their encodes 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The EVM architecture allows 32 bytes words. As enodes addresses are 64 bytes long, they need to be cut in two parts for a smart contract to handle them. For example the enode </w:t>
      </w:r>
      <w:r>
        <w:rPr>
          <w:rStyle w:val="13"/>
        </w:rPr>
        <w:t>enode://841015562d43c8037b127ee2a89f861d39beb468fecab72ad4bf369d3db8a01a5adeee0e0422cb021acea7ffeb0516db9e1211510ad353dc353b8c52165003c8</w:t>
      </w:r>
      <w:r>
        <w:t xml:space="preserve"> would be represented using 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sl: 0x841015562d43c8037b127ee2a89f861d39beb468fecab72ad4bf369d3db8a01a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sh: 0x5adeee0e0422cb021acea7ffeb0516db9e1211510ad353dc353b8c52165003c8</w:t>
      </w:r>
    </w:p>
    <w:p>
      <w:pPr>
        <w:pStyle w:val="9"/>
        <w:keepNext w:val="0"/>
        <w:keepLines w:val="0"/>
        <w:widowControl/>
        <w:suppressLineNumbers w:val="0"/>
        <w:rPr>
          <w:rFonts w:hint="default"/>
          <w:b/>
          <w:bCs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1770" cy="1250315"/>
            <wp:effectExtent l="0" t="0" r="5080" b="6985"/>
            <wp:docPr id="5" name="图片 5" descr="16100074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000745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Obtain Bytecode:</w:t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270500" cy="4346575"/>
            <wp:effectExtent l="0" t="0" r="6350" b="15875"/>
            <wp:docPr id="6" name="图片 6" descr="16100076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1000761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1, truffle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521335"/>
            <wp:effectExtent l="0" t="0" r="4445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57580"/>
            <wp:effectExtent l="0" t="0" r="4445" b="139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02335"/>
            <wp:effectExtent l="0" t="0" r="5715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Truffle compile</w:t>
      </w: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  <w:t>Go to build folder, then open compiled peermanager.json to obtain the bytecode</w:t>
      </w:r>
    </w:p>
    <w:p>
      <w:pPr>
        <w:rPr>
          <w:rStyle w:val="13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3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9230" cy="892810"/>
            <wp:effectExtent l="0" t="0" r="762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3" w:name="_Toc27662"/>
      <w:r>
        <w:rPr>
          <w:rFonts w:hint="eastAsia"/>
          <w:lang w:val="en-US" w:eastAsia="zh-CN"/>
        </w:rPr>
        <w:t>1.1.2 Test if network authorization works</w:t>
      </w:r>
      <w:bookmarkEnd w:id="3"/>
    </w:p>
    <w:p>
      <w:pPr>
        <w:rPr>
          <w:rStyle w:val="13"/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Style w:val="13"/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Restart the 5 node network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9242"/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Transaction</w:t>
      </w:r>
      <w:bookmarkEnd w:id="4"/>
    </w:p>
    <w:p>
      <w:r>
        <w:drawing>
          <wp:inline distT="0" distB="0" distL="114300" distR="114300">
            <wp:extent cx="5269230" cy="2846705"/>
            <wp:effectExtent l="0" t="0" r="762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Compile and put the bytecode and address to chain spec </w:t>
      </w:r>
    </w:p>
    <w:p>
      <w:r>
        <w:drawing>
          <wp:inline distT="0" distB="0" distL="114300" distR="114300">
            <wp:extent cx="5273040" cy="1520190"/>
            <wp:effectExtent l="0" t="0" r="381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69440"/>
            <wp:effectExtent l="0" t="0" r="381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Test: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Truffle migrate --reset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 migrate --network private t test if a account can deploy contract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4170"/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Validator Set</w:t>
      </w:r>
      <w:bookmarkEnd w:id="5"/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25103"/>
      <w:r>
        <w:rPr>
          <w:rFonts w:hint="eastAsia"/>
          <w:lang w:val="en-US" w:eastAsia="zh-CN"/>
        </w:rPr>
        <w:t>1.3.1 How to upgrade smartcontract(smartcontract is not immutable)</w:t>
      </w:r>
      <w:bookmarkEnd w:id="6"/>
    </w:p>
    <w:p>
      <w:r>
        <w:drawing>
          <wp:inline distT="0" distB="0" distL="114300" distR="114300">
            <wp:extent cx="2857500" cy="342900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"https://github.com/onebit256/Upgradable-Proxy-Smart-Contract"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https://github.com/onebit256/Upgradable-Proxy-Smart-Contract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functions in Registry to invoke functions in LogicOne / Two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Code Explain: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Function() fallback function, when someone send ETH to this contract without providing data or someone try to call function doesn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Exit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Solidity Assembly language</w:t>
      </w: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1"/>
          <w:szCs w:val="21"/>
        </w:rPr>
      </w:pPr>
      <w:r>
        <w:rPr>
          <w:rFonts w:hint="default" w:ascii="Calibri" w:hAnsi="Calibri" w:cs="Calibri"/>
          <w:b/>
          <w:bCs/>
          <w:sz w:val="21"/>
          <w:szCs w:val="21"/>
        </w:rPr>
        <w:t>Simple illustration of upgradable smart contracts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Truffle migrate --network private</w:t>
      </w:r>
    </w:p>
    <w:p>
      <w:pPr>
        <w:pStyle w:val="9"/>
        <w:keepNext w:val="0"/>
        <w:keepLines w:val="0"/>
        <w:widowControl/>
        <w:suppressLineNumbers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Truffle console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Let regi = await </w:t>
      </w:r>
      <w:r>
        <w:rPr>
          <w:rStyle w:val="13"/>
          <w:rFonts w:hint="default" w:ascii="Calibri" w:hAnsi="Calibri" w:cs="Calibri"/>
          <w:sz w:val="21"/>
          <w:szCs w:val="21"/>
        </w:rPr>
        <w:t>Registry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regi .</w:t>
      </w:r>
      <w:r>
        <w:rPr>
          <w:rStyle w:val="13"/>
          <w:rFonts w:hint="default" w:ascii="Calibri" w:hAnsi="Calibri" w:cs="Calibri"/>
          <w:sz w:val="21"/>
          <w:szCs w:val="21"/>
        </w:rPr>
        <w:t>setLogicContract(LogicOne.address)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Let l</w:t>
      </w:r>
      <w:r>
        <w:rPr>
          <w:rStyle w:val="13"/>
          <w:rFonts w:hint="default" w:ascii="Calibri" w:hAnsi="Calibri" w:cs="Calibri"/>
          <w:sz w:val="21"/>
          <w:szCs w:val="21"/>
        </w:rPr>
        <w:t>og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1 = await </w:t>
      </w:r>
      <w:r>
        <w:rPr>
          <w:rStyle w:val="13"/>
          <w:rFonts w:hint="default" w:ascii="Calibri" w:hAnsi="Calibri" w:cs="Calibri"/>
          <w:sz w:val="21"/>
          <w:szCs w:val="21"/>
        </w:rPr>
        <w:t>LogicOne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Log1.setValue(2)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Homework：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Set Current Logic contract in Registry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Registry.at(Registry.address).setLogicContract(LogicOne.address)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Check logic_contract address in Registry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Registry.at(Registry.address).logic_contract()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Update Registry storage from LogicOne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LogicOne.at(Registry.address).setVal(2)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// Check value: value should be 4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LogicOne.at(Registry.address).val()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// check owner val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Registry.at(Registry.address).owner()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Change logic layer to LogicTwo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Registry.at(Registry.address).setLogicContract(LogicTwo.address)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Set LogicTwo new value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LogicTwo.at(Registry.address).setVal(2)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// check value: value should be 6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LogicTwo.at(Registry.address).val()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LogicOne should still be able to set the val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LogicOne.at(Registry.address).setVal(2)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// check value: value should be 6. WHY?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LogicOne.at(Registry.address).val()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Comparing this example with Validator 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"https://github.com/onebit256/kovan-validator-set"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https://github.com/onebit256/kovan-validator-set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91125" cy="3314700"/>
            <wp:effectExtent l="0" t="0" r="952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Delegatecall: call other function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10150" cy="3000375"/>
            <wp:effectExtent l="0" t="0" r="0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an instance of the logic contract in proxy contract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ValidatorSet by Contract</w:t>
      </w:r>
    </w:p>
    <w:p>
      <w:r>
        <w:drawing>
          <wp:inline distT="0" distB="0" distL="114300" distR="114300">
            <wp:extent cx="5272405" cy="1702435"/>
            <wp:effectExtent l="0" t="0" r="4445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6540"/>
            <wp:effectExtent l="0" t="0" r="6985" b="1016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CF6C03"/>
    <w:multiLevelType w:val="multilevel"/>
    <w:tmpl w:val="AFCF6C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B0310ED"/>
    <w:multiLevelType w:val="multilevel"/>
    <w:tmpl w:val="BB0310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B479F9A"/>
    <w:multiLevelType w:val="multilevel"/>
    <w:tmpl w:val="0B479F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0E56219"/>
    <w:multiLevelType w:val="multilevel"/>
    <w:tmpl w:val="10E562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C76E84A"/>
    <w:multiLevelType w:val="multilevel"/>
    <w:tmpl w:val="1C76E8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4C2229AE"/>
    <w:multiLevelType w:val="multilevel"/>
    <w:tmpl w:val="4C2229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65CC092B"/>
    <w:multiLevelType w:val="multilevel"/>
    <w:tmpl w:val="65CC09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CCF8009"/>
    <w:multiLevelType w:val="multilevel"/>
    <w:tmpl w:val="6CCF80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A3C6C"/>
    <w:rsid w:val="01B41C5C"/>
    <w:rsid w:val="01E05F57"/>
    <w:rsid w:val="041605D9"/>
    <w:rsid w:val="047A232A"/>
    <w:rsid w:val="07D03613"/>
    <w:rsid w:val="08D01487"/>
    <w:rsid w:val="0B6C56F8"/>
    <w:rsid w:val="0B92636A"/>
    <w:rsid w:val="0C4C35F9"/>
    <w:rsid w:val="0C7D625E"/>
    <w:rsid w:val="0D947963"/>
    <w:rsid w:val="0DB261D3"/>
    <w:rsid w:val="0F2768E2"/>
    <w:rsid w:val="0FC11E82"/>
    <w:rsid w:val="10156386"/>
    <w:rsid w:val="10CD0F09"/>
    <w:rsid w:val="128C69E9"/>
    <w:rsid w:val="12EC4B66"/>
    <w:rsid w:val="14496EAC"/>
    <w:rsid w:val="14612BDC"/>
    <w:rsid w:val="14C41EEB"/>
    <w:rsid w:val="158D44C6"/>
    <w:rsid w:val="15981A31"/>
    <w:rsid w:val="16A34F56"/>
    <w:rsid w:val="16E0224F"/>
    <w:rsid w:val="17DF3FA2"/>
    <w:rsid w:val="18FD0E1B"/>
    <w:rsid w:val="1CB81EC9"/>
    <w:rsid w:val="1D6A2219"/>
    <w:rsid w:val="1DCB6AA3"/>
    <w:rsid w:val="20346ECF"/>
    <w:rsid w:val="20E435B5"/>
    <w:rsid w:val="20FC26DD"/>
    <w:rsid w:val="224B1DFC"/>
    <w:rsid w:val="226D7BB3"/>
    <w:rsid w:val="23654A55"/>
    <w:rsid w:val="23755122"/>
    <w:rsid w:val="23A73063"/>
    <w:rsid w:val="24037D42"/>
    <w:rsid w:val="24975846"/>
    <w:rsid w:val="251561E2"/>
    <w:rsid w:val="25DF3512"/>
    <w:rsid w:val="26BB3B2C"/>
    <w:rsid w:val="2754238F"/>
    <w:rsid w:val="2A680015"/>
    <w:rsid w:val="2AE83BF2"/>
    <w:rsid w:val="2B305821"/>
    <w:rsid w:val="2C3B2BC7"/>
    <w:rsid w:val="2D6E7F94"/>
    <w:rsid w:val="2DBD05FC"/>
    <w:rsid w:val="2EBD7EAF"/>
    <w:rsid w:val="2EE50ED8"/>
    <w:rsid w:val="2EEA481B"/>
    <w:rsid w:val="321538C8"/>
    <w:rsid w:val="321546B8"/>
    <w:rsid w:val="33CF4E7A"/>
    <w:rsid w:val="34116043"/>
    <w:rsid w:val="36F63D96"/>
    <w:rsid w:val="38225660"/>
    <w:rsid w:val="3A1464E5"/>
    <w:rsid w:val="3AD514AD"/>
    <w:rsid w:val="3B2E0726"/>
    <w:rsid w:val="3B3651B4"/>
    <w:rsid w:val="3C420E11"/>
    <w:rsid w:val="3E401150"/>
    <w:rsid w:val="40C41F5D"/>
    <w:rsid w:val="42DA7775"/>
    <w:rsid w:val="43B25A0A"/>
    <w:rsid w:val="44415EE6"/>
    <w:rsid w:val="4508779B"/>
    <w:rsid w:val="45B83B29"/>
    <w:rsid w:val="463C1929"/>
    <w:rsid w:val="476F34BF"/>
    <w:rsid w:val="47D85293"/>
    <w:rsid w:val="4870705C"/>
    <w:rsid w:val="498C0BF4"/>
    <w:rsid w:val="499C4ABE"/>
    <w:rsid w:val="4AB71030"/>
    <w:rsid w:val="4AD851E1"/>
    <w:rsid w:val="4B455B36"/>
    <w:rsid w:val="4BE17FED"/>
    <w:rsid w:val="4EC978D9"/>
    <w:rsid w:val="4F342774"/>
    <w:rsid w:val="4F814419"/>
    <w:rsid w:val="529729CD"/>
    <w:rsid w:val="529F0F39"/>
    <w:rsid w:val="52C949A1"/>
    <w:rsid w:val="52DC410A"/>
    <w:rsid w:val="538E1A57"/>
    <w:rsid w:val="539C3E5E"/>
    <w:rsid w:val="53B70BA6"/>
    <w:rsid w:val="5442676C"/>
    <w:rsid w:val="553B7581"/>
    <w:rsid w:val="55627FF0"/>
    <w:rsid w:val="55A3319B"/>
    <w:rsid w:val="55DF7A93"/>
    <w:rsid w:val="564E3D2F"/>
    <w:rsid w:val="57D3068B"/>
    <w:rsid w:val="58D16414"/>
    <w:rsid w:val="5B2B23C2"/>
    <w:rsid w:val="5CE82A7D"/>
    <w:rsid w:val="5D3140D3"/>
    <w:rsid w:val="5D97782C"/>
    <w:rsid w:val="5FFF6B2B"/>
    <w:rsid w:val="60735DB3"/>
    <w:rsid w:val="61B550E5"/>
    <w:rsid w:val="62102740"/>
    <w:rsid w:val="623E0099"/>
    <w:rsid w:val="63CD0A63"/>
    <w:rsid w:val="63D841C9"/>
    <w:rsid w:val="659A6A95"/>
    <w:rsid w:val="664E0D8F"/>
    <w:rsid w:val="66A26F9A"/>
    <w:rsid w:val="66EA4827"/>
    <w:rsid w:val="693C3E1B"/>
    <w:rsid w:val="696E5683"/>
    <w:rsid w:val="69733345"/>
    <w:rsid w:val="6BF03C69"/>
    <w:rsid w:val="6D0B5315"/>
    <w:rsid w:val="6DCD6A94"/>
    <w:rsid w:val="6E701144"/>
    <w:rsid w:val="6E92259F"/>
    <w:rsid w:val="6EF46754"/>
    <w:rsid w:val="6EF66E0A"/>
    <w:rsid w:val="6F650942"/>
    <w:rsid w:val="6FC11472"/>
    <w:rsid w:val="70FD2FDA"/>
    <w:rsid w:val="726C36B4"/>
    <w:rsid w:val="72F96403"/>
    <w:rsid w:val="730D7CA2"/>
    <w:rsid w:val="757562FA"/>
    <w:rsid w:val="75E951B1"/>
    <w:rsid w:val="79332C89"/>
    <w:rsid w:val="7B221CFE"/>
    <w:rsid w:val="7BA14D15"/>
    <w:rsid w:val="7BB548B4"/>
    <w:rsid w:val="7D195E37"/>
    <w:rsid w:val="7D5D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2021-01-08T00:46:59Z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