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Title"/>
        <w:pageBreakBefore w:val="false"/>
        <w:jc w:val="left"/>
        <w:rPr>
          <w:color w:val="000000"/>
        </w:rPr>
      </w:pPr>
      <w:bookmarkStart w:id="0" w:name="_hais3yljtci3"/>
      <w:bookmarkEnd w:id="0"/>
      <w:r>
        <w:rPr>
          <w:color w:val="000000"/>
        </w:rPr>
        <w:t>FNCE100</w:t>
      </w:r>
      <w:r>
        <w:rPr>
          <w:color w:val="000000"/>
        </w:rPr>
        <w:t>02</w:t>
      </w:r>
    </w:p>
    <w:tbl>
      <w:tblPr>
        <w:tblStyle w:val="Table5"/>
        <w:tblW w:w="10455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569"/>
        <w:gridCol w:w="2850"/>
        <w:gridCol w:w="3916"/>
        <w:gridCol w:w="3119"/>
      </w:tblGrid>
      <w:tr>
        <w:trPr>
          <w:trHeight w:val="420" w:hRule="atLeast"/>
        </w:trPr>
        <w:tc>
          <w:tcPr>
            <w:tcW w:w="10454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Heading2"/>
              <w:widowControl w:val="false"/>
              <w:jc w:val="left"/>
              <w:rPr/>
            </w:pPr>
            <w:bookmarkStart w:id="1" w:name="_4p954fqy7pvf"/>
            <w:bookmarkEnd w:id="1"/>
            <w:r>
              <w:rPr/>
              <w:t>5 CAPITAL STRUCTURE AND PAYOUT POLICY</w:t>
            </w:r>
          </w:p>
          <w:p>
            <w:pPr>
              <w:pStyle w:val="Normal1"/>
              <w:widowControl w:val="false"/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>
              <w:rPr/>
              <w:t>Financial leverage: when companies use debt in their capital structure</w:t>
            </w:r>
          </w:p>
          <w:p>
            <w:pPr>
              <w:pStyle w:val="Normal1"/>
              <w:widowControl w:val="false"/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>
              <w:rPr/>
              <w:t>Levered company: company with debt on its balance sheet</w:t>
            </w:r>
          </w:p>
          <w:p>
            <w:pPr>
              <w:pStyle w:val="Normal1"/>
              <w:widowControl w:val="false"/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>
              <w:rPr/>
              <w:t>Unlevered company: finances operations entirely with equity</w:t>
            </w:r>
          </w:p>
          <w:p>
            <w:pPr>
              <w:pStyle w:val="Normal1"/>
              <w:widowControl w:val="false"/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>
              <w:rPr/>
              <w:t>Levered: debt magnifies a company’s financial performance</w:t>
            </w:r>
          </w:p>
          <w:p>
            <w:pPr>
              <w:pStyle w:val="Normal1"/>
              <w:widowControl w:val="false"/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>
              <w:rPr/>
              <w:t>Recapitalisation: alteration of a company’s capital structure to change the relative mix of debt and equity financing</w:t>
            </w:r>
          </w:p>
          <w:p>
            <w:pPr>
              <w:pStyle w:val="Normal1"/>
              <w:widowControl w:val="false"/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>
              <w:rPr/>
              <w:t>Effects of financial leverage</w:t>
            </w:r>
          </w:p>
          <w:p>
            <w:pPr>
              <w:pStyle w:val="Normal1"/>
              <w:widowControl w:val="false"/>
              <w:numPr>
                <w:ilvl w:val="1"/>
                <w:numId w:val="16"/>
              </w:numPr>
              <w:ind w:left="1440" w:hanging="360"/>
              <w:rPr>
                <w:u w:val="none"/>
              </w:rPr>
            </w:pPr>
            <w:r>
              <w:rPr>
                <w:rFonts w:eastAsia="Nova Mono" w:cs="Nova Mono" w:ascii="Nova Mono" w:hAnsi="Nova Mono"/>
              </w:rPr>
              <w:t>Expected rate of return on equity ↑</w:t>
            </w:r>
          </w:p>
          <w:p>
            <w:pPr>
              <w:pStyle w:val="Normal1"/>
              <w:widowControl w:val="false"/>
              <w:numPr>
                <w:ilvl w:val="1"/>
                <w:numId w:val="16"/>
              </w:numPr>
              <w:ind w:left="1440" w:hanging="360"/>
              <w:rPr>
                <w:u w:val="none"/>
              </w:rPr>
            </w:pPr>
            <w:r>
              <w:rPr>
                <w:rFonts w:eastAsia="Nova Mono" w:cs="Nova Mono" w:ascii="Nova Mono" w:hAnsi="Nova Mono"/>
              </w:rPr>
              <w:t>Variability of returns to shareholders ↑</w:t>
            </w:r>
          </w:p>
          <w:p>
            <w:pPr>
              <w:pStyle w:val="Normal1"/>
              <w:widowControl w:val="false"/>
              <w:numPr>
                <w:ilvl w:val="1"/>
                <w:numId w:val="16"/>
              </w:numPr>
              <w:ind w:left="1440" w:hanging="360"/>
              <w:rPr/>
            </w:pPr>
            <w:r>
              <w:rPr>
                <w:rFonts w:ascii="Nova Mono" w:hAnsi="Nova Mono" w:cs="Nova Mono" w:eastAsia="Nova Mono"/>
              </w:rPr>
              <w:t xml:space="preserve">↑ </w:t>
            </w:r>
            <w:r>
              <w:rPr>
                <w:rFonts w:eastAsia="Nova Mono" w:cs="Nova Mono" w:ascii="Nova Mono" w:hAnsi="Nova Mono"/>
              </w:rPr>
              <w:t>leverage involves a trade-off between risk and return</w:t>
            </w:r>
          </w:p>
          <w:p>
            <w:pPr>
              <w:pStyle w:val="Normal1"/>
              <w:widowControl w:val="false"/>
              <w:rPr/>
            </w:pPr>
            <w:r>
              <w:rPr/>
              <w:t>Modigliani-Miller</w:t>
            </w:r>
          </w:p>
          <w:p>
            <w:pPr>
              <w:pStyle w:val="Normal1"/>
              <w:widowControl w:val="false"/>
              <w:numPr>
                <w:ilvl w:val="0"/>
                <w:numId w:val="5"/>
              </w:numPr>
              <w:ind w:left="720" w:hanging="360"/>
              <w:rPr/>
            </w:pPr>
            <w:r>
              <w:rPr/>
              <w:t>Perfect capital market conditions:</w:t>
            </w:r>
          </w:p>
          <w:p>
            <w:pPr>
              <w:pStyle w:val="Normal1"/>
              <w:widowControl w:val="false"/>
              <w:numPr>
                <w:ilvl w:val="0"/>
                <w:numId w:val="7"/>
              </w:numPr>
              <w:ind w:left="1440" w:hanging="360"/>
              <w:rPr/>
            </w:pPr>
            <w:r>
              <w:rPr/>
              <w:t>Firms and investors can trade the same set of securities at competitive market prices</w:t>
            </w:r>
          </w:p>
          <w:p>
            <w:pPr>
              <w:pStyle w:val="Normal1"/>
              <w:widowControl w:val="false"/>
              <w:numPr>
                <w:ilvl w:val="0"/>
                <w:numId w:val="7"/>
              </w:numPr>
              <w:ind w:left="1440" w:hanging="360"/>
              <w:rPr/>
            </w:pPr>
            <w:r>
              <w:rPr/>
              <w:t>There are no taxes, transaction costs or issuance costs</w:t>
            </w:r>
          </w:p>
          <w:p>
            <w:pPr>
              <w:pStyle w:val="Normal1"/>
              <w:widowControl w:val="false"/>
              <w:numPr>
                <w:ilvl w:val="0"/>
                <w:numId w:val="7"/>
              </w:numPr>
              <w:ind w:left="1440" w:hanging="360"/>
              <w:rPr/>
            </w:pPr>
            <w:r>
              <w:rPr/>
              <w:t>Firms have a fixed investment policy, and their investment decisions are not affected by their financing decisions</w:t>
            </w:r>
          </w:p>
          <w:p>
            <w:pPr>
              <w:pStyle w:val="Normal1"/>
              <w:widowControl w:val="false"/>
              <w:numPr>
                <w:ilvl w:val="0"/>
                <w:numId w:val="7"/>
              </w:numPr>
              <w:ind w:left="1440" w:hanging="360"/>
              <w:rPr/>
            </w:pPr>
            <w:r>
              <w:rPr/>
              <w:t>We also assume perpetual cash flows (earnings) to simplify the analysis</w:t>
            </w:r>
          </w:p>
          <w:p>
            <w:pPr>
              <w:pStyle w:val="Normal1"/>
              <w:widowControl w:val="false"/>
              <w:rPr/>
            </w:pPr>
            <w:r>
              <w:rPr/>
              <w:t>3 states:</w:t>
            </w:r>
          </w:p>
          <w:p>
            <w:pPr>
              <w:pStyle w:val="Normal1"/>
              <w:widowControl w:val="false"/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>
              <w:rPr/>
              <w:t>State 1: Economic recession</w:t>
            </w:r>
          </w:p>
          <w:p>
            <w:pPr>
              <w:pStyle w:val="Normal1"/>
              <w:widowControl w:val="false"/>
              <w:numPr>
                <w:ilvl w:val="0"/>
                <w:numId w:val="13"/>
              </w:numPr>
              <w:ind w:left="1440" w:hanging="360"/>
              <w:rPr>
                <w:u w:val="none"/>
              </w:rPr>
            </w:pPr>
            <w:r>
              <w:rPr>
                <w:rFonts w:eastAsia="Nova Mono" w:cs="Nova Mono" w:ascii="Nova Mono" w:hAnsi="Nova Mono"/>
              </w:rPr>
              <w:t>EPS ↓; ROE↓</w:t>
            </w:r>
          </w:p>
          <w:p>
            <w:pPr>
              <w:pStyle w:val="Normal1"/>
              <w:widowControl w:val="false"/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>
              <w:rPr/>
              <w:t>State 2: Economic normality</w:t>
            </w:r>
          </w:p>
          <w:p>
            <w:pPr>
              <w:pStyle w:val="Normal1"/>
              <w:widowControl w:val="false"/>
              <w:numPr>
                <w:ilvl w:val="0"/>
                <w:numId w:val="11"/>
              </w:numPr>
              <w:ind w:left="1440" w:hanging="360"/>
              <w:rPr>
                <w:u w:val="none"/>
              </w:rPr>
            </w:pPr>
            <w:r>
              <w:rPr>
                <w:rFonts w:eastAsia="Nova Mono" w:cs="Nova Mono" w:ascii="Nova Mono" w:hAnsi="Nova Mono"/>
              </w:rPr>
              <w:t>EPS ↑; ROE↑</w:t>
            </w:r>
          </w:p>
          <w:p>
            <w:pPr>
              <w:pStyle w:val="Normal1"/>
              <w:widowControl w:val="false"/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>
              <w:rPr/>
              <w:t>State 3: Economic boom</w:t>
            </w:r>
          </w:p>
          <w:p>
            <w:pPr>
              <w:pStyle w:val="Normal1"/>
              <w:widowControl w:val="false"/>
              <w:numPr>
                <w:ilvl w:val="0"/>
                <w:numId w:val="4"/>
              </w:numPr>
              <w:ind w:left="1440" w:hanging="360"/>
              <w:rPr>
                <w:u w:val="none"/>
              </w:rPr>
            </w:pPr>
            <w:r>
              <w:rPr>
                <w:rFonts w:eastAsia="Nova Mono" w:cs="Nova Mono" w:ascii="Nova Mono" w:hAnsi="Nova Mono"/>
              </w:rPr>
              <w:t>EPS ↑; ROE↑</w:t>
            </w:r>
          </w:p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6505575" cy="2171700"/>
                  <wp:effectExtent l="0" t="0" r="0" b="0"/>
                  <wp:docPr id="1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6505575" cy="3225800"/>
                  <wp:effectExtent l="0" t="0" r="0" b="0"/>
                  <wp:docPr id="2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322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6505575" cy="3924300"/>
                  <wp:effectExtent l="0" t="0" r="0" b="0"/>
                  <wp:docPr id="3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6505575" cy="3530600"/>
                  <wp:effectExtent l="0" t="0" r="0" b="0"/>
                  <wp:docPr id="4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353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6505575" cy="2933700"/>
                  <wp:effectExtent l="0" t="0" r="0" b="0"/>
                  <wp:docPr id="5" name="image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6505575" cy="3060700"/>
                  <wp:effectExtent l="0" t="0" r="0" b="0"/>
                  <wp:docPr id="6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306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widowControl w:val="false"/>
              <w:rPr/>
            </w:pPr>
            <w:r>
              <w:rPr/>
              <w:drawing>
                <wp:inline distT="0" distB="0" distL="0" distR="0">
                  <wp:extent cx="6505575" cy="3365500"/>
                  <wp:effectExtent l="0" t="0" r="0" b="0"/>
                  <wp:docPr id="7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widowControl w:val="false"/>
              <w:rPr/>
            </w:pPr>
            <w:r>
              <w:rPr/>
            </w:r>
          </w:p>
          <w:p>
            <w:pPr>
              <w:pStyle w:val="Normal1"/>
              <w:widowControl w:val="false"/>
              <w:rPr/>
            </w:pPr>
            <w:r>
              <w:rPr/>
              <w:t>SUMMARY OF CURRENT AND PROPOSED CAPITAL STRUCTURES</w:t>
            </w:r>
          </w:p>
          <w:tbl>
            <w:tblPr>
              <w:tblStyle w:val="Table6"/>
              <w:tblW w:w="370" w:type="dxa"/>
              <w:jc w:val="left"/>
              <w:tblInd w:w="0" w:type="dxa"/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600"/>
            </w:tblPr>
            <w:tblGrid>
              <w:gridCol w:w="123"/>
              <w:gridCol w:w="123"/>
              <w:gridCol w:w="124"/>
            </w:tblGrid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Current</w:t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Proposed</w:t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Assets</w:t>
                  </w:r>
                </w:p>
                <w:p>
                  <w:pPr>
                    <w:pStyle w:val="Normal1"/>
                    <w:keepNext w:val="false"/>
                    <w:keepLines w:val="false"/>
                    <w:widowControl w:val="false"/>
                    <w:numPr>
                      <w:ilvl w:val="0"/>
                      <w:numId w:val="1"/>
                    </w:numPr>
                    <w:pBdr/>
                    <w:shd w:val="clear" w:fill="auto"/>
                    <w:spacing w:lineRule="auto" w:line="240" w:before="0" w:after="0"/>
                    <w:ind w:left="720" w:right="0" w:hanging="360"/>
                    <w:jc w:val="left"/>
                    <w:rPr>
                      <w:u w:val="none"/>
                    </w:rPr>
                  </w:pPr>
                  <w:r>
                    <w:rPr/>
                    <w:t>Assets = EBIT/Required rate of return</w:t>
                  </w:r>
                </w:p>
                <w:p>
                  <w:pPr>
                    <w:pStyle w:val="Normal1"/>
                    <w:keepNext w:val="false"/>
                    <w:keepLines w:val="false"/>
                    <w:widowControl w:val="false"/>
                    <w:numPr>
                      <w:ilvl w:val="0"/>
                      <w:numId w:val="1"/>
                    </w:numPr>
                    <w:pBdr/>
                    <w:shd w:val="clear" w:fill="auto"/>
                    <w:spacing w:lineRule="auto" w:line="240" w:before="0" w:after="0"/>
                    <w:ind w:left="720" w:right="0" w:hanging="360"/>
                    <w:jc w:val="left"/>
                    <w:rPr>
                      <w:u w:val="none"/>
                    </w:rPr>
                  </w:pPr>
                  <w:r>
                    <w:rPr/>
                    <w:t>Assets = Equity + Debt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Equity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Debt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Debt-to-equity ratio</w:t>
                  </w:r>
                </w:p>
                <w:p>
                  <w:pPr>
                    <w:pStyle w:val="Normal1"/>
                    <w:keepNext w:val="false"/>
                    <w:keepLines w:val="false"/>
                    <w:widowControl w:val="false"/>
                    <w:numPr>
                      <w:ilvl w:val="0"/>
                      <w:numId w:val="10"/>
                    </w:numPr>
                    <w:pBdr/>
                    <w:shd w:val="clear" w:fill="auto"/>
                    <w:spacing w:lineRule="auto" w:line="240" w:before="0" w:after="0"/>
                    <w:ind w:left="720" w:right="0" w:hanging="360"/>
                    <w:jc w:val="left"/>
                    <w:rPr>
                      <w:u w:val="none"/>
                    </w:rPr>
                  </w:pPr>
                  <w:r>
                    <w:rPr/>
                    <w:t>D/E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EBIT</w:t>
                  </w:r>
                </w:p>
                <w:p>
                  <w:pPr>
                    <w:pStyle w:val="Normal1"/>
                    <w:keepNext w:val="false"/>
                    <w:keepLines w:val="false"/>
                    <w:widowControl w:val="false"/>
                    <w:numPr>
                      <w:ilvl w:val="0"/>
                      <w:numId w:val="6"/>
                    </w:numPr>
                    <w:pBdr/>
                    <w:shd w:val="clear" w:fill="auto"/>
                    <w:spacing w:lineRule="auto" w:line="240" w:before="0" w:after="0"/>
                    <w:ind w:left="720" w:right="0" w:hanging="360"/>
                    <w:jc w:val="left"/>
                    <w:rPr>
                      <w:u w:val="none"/>
                    </w:rPr>
                  </w:pPr>
                  <w:r>
                    <w:rPr>
                      <w:rFonts w:eastAsia="Caudex" w:cs="Caudex" w:ascii="Caudex" w:hAnsi="Caudex"/>
                    </w:rPr>
                    <w:t>Expected EBIT = (⅓)$ EBIT normal growth + (⅓) $ EBIT recession + (⅓) $ EBIT boom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Unchanged</w:t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Shares outstanding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Share price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Interest rate on debt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1"/>
              <w:widowControl w:val="false"/>
              <w:rPr/>
            </w:pPr>
            <w:r>
              <w:rPr/>
            </w:r>
          </w:p>
          <w:p>
            <w:pPr>
              <w:pStyle w:val="Normal1"/>
              <w:widowControl w:val="false"/>
              <w:rPr/>
            </w:pPr>
            <w:r>
              <w:rPr/>
              <w:t>EXPECTED CASH FLOWS TO SHAREHOLDERS AND BONDHOLDERS UNDER THE CURRENT AND PROPOSED CAPITAL STRUCTURES</w:t>
            </w:r>
          </w:p>
          <w:p>
            <w:pPr>
              <w:pStyle w:val="Normal1"/>
              <w:widowControl w:val="false"/>
              <w:numPr>
                <w:ilvl w:val="0"/>
                <w:numId w:val="14"/>
              </w:numPr>
              <w:ind w:left="720" w:hanging="360"/>
              <w:rPr>
                <w:u w:val="none"/>
              </w:rPr>
            </w:pPr>
            <w:r>
              <w:rPr/>
              <w:t>Assuming EBIT = $___ and economy grows at a normal rate</w:t>
            </w:r>
          </w:p>
          <w:p>
            <w:pPr>
              <w:pStyle w:val="Normal1"/>
              <w:widowControl w:val="false"/>
              <w:numPr>
                <w:ilvl w:val="0"/>
                <w:numId w:val="14"/>
              </w:numPr>
              <w:ind w:left="720" w:hanging="360"/>
              <w:rPr>
                <w:u w:val="none"/>
              </w:rPr>
            </w:pPr>
            <w:r>
              <w:rPr>
                <w:u w:val="none"/>
              </w:rPr>
            </w:r>
          </w:p>
          <w:tbl>
            <w:tblPr>
              <w:tblStyle w:val="Table7"/>
              <w:tblW w:w="370" w:type="dxa"/>
              <w:jc w:val="left"/>
              <w:tblInd w:w="0" w:type="dxa"/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600"/>
            </w:tblPr>
            <w:tblGrid>
              <w:gridCol w:w="123"/>
              <w:gridCol w:w="123"/>
              <w:gridCol w:w="124"/>
            </w:tblGrid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Current Structure</w:t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Proposed Structure</w:t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EBIT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  <w:r>
                    <w:rPr/>
                    <w:t>Interest (__%)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  <w:r>
                    <w:rPr/>
                    <w:t>Net Income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Shares outstanding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Earnings per share (EPS)</w:t>
                  </w:r>
                </w:p>
                <w:p>
                  <w:pPr>
                    <w:pStyle w:val="Normal1"/>
                    <w:keepNext w:val="false"/>
                    <w:keepLines w:val="false"/>
                    <w:widowControl w:val="false"/>
                    <w:numPr>
                      <w:ilvl w:val="0"/>
                      <w:numId w:val="3"/>
                    </w:numPr>
                    <w:pBdr/>
                    <w:shd w:val="clear" w:fill="auto"/>
                    <w:spacing w:lineRule="auto" w:line="240" w:before="0" w:after="0"/>
                    <w:ind w:left="720" w:right="0" w:hanging="360"/>
                    <w:jc w:val="left"/>
                    <w:rPr>
                      <w:u w:val="none"/>
                    </w:rPr>
                  </w:pPr>
                  <w:r>
                    <w:rPr/>
                    <w:t>EPS = (EBIT - Interest) / Number of shares</w:t>
                  </w:r>
                </w:p>
                <w:p>
                  <w:pPr>
                    <w:pStyle w:val="Normal1"/>
                    <w:keepNext w:val="false"/>
                    <w:keepLines w:val="false"/>
                    <w:widowControl w:val="false"/>
                    <w:numPr>
                      <w:ilvl w:val="0"/>
                      <w:numId w:val="3"/>
                    </w:numPr>
                    <w:pBdr/>
                    <w:shd w:val="clear" w:fill="auto"/>
                    <w:spacing w:lineRule="auto" w:line="240" w:before="0" w:after="0"/>
                    <w:ind w:left="720" w:right="0" w:hanging="360"/>
                    <w:jc w:val="left"/>
                    <w:rPr>
                      <w:u w:val="none"/>
                    </w:rPr>
                  </w:pPr>
                  <w:r>
                    <w:rPr/>
                    <w:t>Earnings = EBIT - Interest</w:t>
                  </w:r>
                </w:p>
                <w:p>
                  <w:pPr>
                    <w:pStyle w:val="Normal1"/>
                    <w:widowControl w:val="false"/>
                    <w:numPr>
                      <w:ilvl w:val="0"/>
                      <w:numId w:val="3"/>
                    </w:numPr>
                    <w:ind w:left="720" w:hanging="360"/>
                    <w:rPr/>
                  </w:pPr>
                  <w:r>
                    <w:rPr>
                      <w:rFonts w:eastAsia="Caudex" w:cs="Caudex" w:ascii="Caudex" w:hAnsi="Caudex"/>
                    </w:rPr>
                    <w:t>EPS= (⅓)$ EPS normal growth + (⅓) $ EPS recession + (⅓) $ EPS boom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Return on equity (ROE)</w:t>
                  </w:r>
                </w:p>
                <w:p>
                  <w:pPr>
                    <w:pStyle w:val="Normal1"/>
                    <w:widowControl w:val="false"/>
                    <w:numPr>
                      <w:ilvl w:val="0"/>
                      <w:numId w:val="12"/>
                    </w:numPr>
                    <w:ind w:left="720" w:hanging="360"/>
                    <w:rPr/>
                  </w:pPr>
                  <w:r>
                    <w:rPr/>
                    <w:t>ROE = Net income/Equity</w:t>
                  </w:r>
                </w:p>
                <w:p>
                  <w:pPr>
                    <w:pStyle w:val="Normal1"/>
                    <w:keepNext w:val="false"/>
                    <w:keepLines w:val="false"/>
                    <w:widowControl w:val="false"/>
                    <w:numPr>
                      <w:ilvl w:val="0"/>
                      <w:numId w:val="15"/>
                    </w:numPr>
                    <w:pBdr/>
                    <w:shd w:val="clear" w:fill="auto"/>
                    <w:spacing w:lineRule="auto" w:line="240" w:before="0" w:after="0"/>
                    <w:ind w:left="720" w:right="0" w:hanging="360"/>
                    <w:jc w:val="left"/>
                    <w:rPr>
                      <w:u w:val="none"/>
                    </w:rPr>
                  </w:pPr>
                  <w:r>
                    <w:rPr/>
                    <w:t>ROE = EPS/Share Price</w:t>
                  </w:r>
                </w:p>
                <w:p>
                  <w:pPr>
                    <w:pStyle w:val="Normal1"/>
                    <w:keepNext w:val="false"/>
                    <w:keepLines w:val="false"/>
                    <w:widowControl w:val="false"/>
                    <w:numPr>
                      <w:ilvl w:val="0"/>
                      <w:numId w:val="15"/>
                    </w:numPr>
                    <w:pBdr/>
                    <w:shd w:val="clear" w:fill="auto"/>
                    <w:spacing w:lineRule="auto" w:line="240" w:before="0" w:after="0"/>
                    <w:ind w:left="720" w:right="0" w:hanging="360"/>
                    <w:jc w:val="left"/>
                    <w:rPr>
                      <w:u w:val="none"/>
                    </w:rPr>
                  </w:pPr>
                  <w:r>
                    <w:rPr/>
                    <w:t>ROE = Earnings/EBIT</w:t>
                  </w:r>
                </w:p>
                <w:p>
                  <w:pPr>
                    <w:pStyle w:val="Normal1"/>
                    <w:widowControl w:val="false"/>
                    <w:numPr>
                      <w:ilvl w:val="0"/>
                      <w:numId w:val="15"/>
                    </w:numPr>
                    <w:ind w:left="720" w:hanging="360"/>
                    <w:rPr/>
                  </w:pPr>
                  <w:r>
                    <w:rPr>
                      <w:rFonts w:eastAsia="Caudex" w:cs="Caudex" w:ascii="Caudex" w:hAnsi="Caudex"/>
                    </w:rPr>
                    <w:t>ROW = (⅓)$ ROE normal growth + (⅓) $ ROE recession + (⅓) $ ROE boom</w:t>
                  </w:r>
                </w:p>
              </w:tc>
              <w:tc>
                <w:tcPr>
                  <w:tcW w:w="1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1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1"/>
              <w:widowControl w:val="false"/>
              <w:rPr/>
            </w:pPr>
            <w:r>
              <w:rPr/>
            </w:r>
          </w:p>
          <w:p>
            <w:pPr>
              <w:pStyle w:val="Normal1"/>
              <w:widowControl w:val="false"/>
              <w:rPr/>
            </w:pPr>
            <w:r>
              <w:rPr/>
            </w:r>
          </w:p>
          <w:tbl>
            <w:tblPr>
              <w:tblStyle w:val="Table8"/>
              <w:tblW w:w="370" w:type="dxa"/>
              <w:jc w:val="left"/>
              <w:tblInd w:w="0" w:type="dxa"/>
              <w:tblLayout w:type="fixed"/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600"/>
            </w:tblPr>
            <w:tblGrid>
              <w:gridCol w:w="177"/>
              <w:gridCol w:w="93"/>
              <w:gridCol w:w="99"/>
            </w:tblGrid>
            <w:tr>
              <w:trPr>
                <w:trHeight w:val="420" w:hRule="atLeast"/>
              </w:trPr>
              <w:tc>
                <w:tcPr>
                  <w:tcW w:w="1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State of Economy</w:t>
                  </w:r>
                </w:p>
              </w:tc>
              <w:tc>
                <w:tcPr>
                  <w:tcW w:w="192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Recession</w:t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Normal</w:t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Boom</w:t>
                  </w:r>
                </w:p>
              </w:tc>
            </w:tr>
            <w:tr>
              <w:trPr/>
              <w:tc>
                <w:tcPr>
                  <w:tcW w:w="1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Current</w:t>
                  </w:r>
                </w:p>
              </w:tc>
              <w:tc>
                <w:tcPr>
                  <w:tcW w:w="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Proposed</w:t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Current</w:t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Proposed</w:t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Current</w:t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Proposed</w:t>
                  </w:r>
                </w:p>
              </w:tc>
            </w:tr>
            <w:tr>
              <w:trPr/>
              <w:tc>
                <w:tcPr>
                  <w:tcW w:w="1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EBIT</w:t>
                  </w:r>
                </w:p>
              </w:tc>
              <w:tc>
                <w:tcPr>
                  <w:tcW w:w="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  <w:r>
                    <w:rPr/>
                    <w:t>Interest on debt</w:t>
                  </w:r>
                </w:p>
              </w:tc>
              <w:tc>
                <w:tcPr>
                  <w:tcW w:w="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  <w:r>
                    <w:rPr/>
                    <w:t>Net Income</w:t>
                  </w:r>
                </w:p>
              </w:tc>
              <w:tc>
                <w:tcPr>
                  <w:tcW w:w="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Shares outstanding</w:t>
                  </w:r>
                </w:p>
              </w:tc>
              <w:tc>
                <w:tcPr>
                  <w:tcW w:w="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Earnings per share (EPS)</w:t>
                  </w:r>
                </w:p>
              </w:tc>
              <w:tc>
                <w:tcPr>
                  <w:tcW w:w="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Return on Assets (ROA)</w:t>
                  </w:r>
                </w:p>
                <w:p>
                  <w:pPr>
                    <w:pStyle w:val="Normal1"/>
                    <w:keepNext w:val="false"/>
                    <w:keepLines w:val="false"/>
                    <w:widowControl w:val="false"/>
                    <w:numPr>
                      <w:ilvl w:val="0"/>
                      <w:numId w:val="8"/>
                    </w:numPr>
                    <w:pBdr/>
                    <w:shd w:val="clear" w:fill="auto"/>
                    <w:spacing w:lineRule="auto" w:line="240" w:before="0" w:after="0"/>
                    <w:ind w:left="720" w:right="0" w:hanging="360"/>
                    <w:jc w:val="left"/>
                    <w:rPr>
                      <w:u w:val="none"/>
                    </w:rPr>
                  </w:pPr>
                  <w:r>
                    <w:rPr/>
                    <w:t>ROA=EBIT/Assets</w:t>
                  </w:r>
                </w:p>
              </w:tc>
              <w:tc>
                <w:tcPr>
                  <w:tcW w:w="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rPr/>
                  </w:pPr>
                  <w:r>
                    <w:rPr/>
                    <w:t>Unchanged</w:t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Unchanged</w:t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widowControl w:val="false"/>
                    <w:rPr/>
                  </w:pPr>
                  <w:r>
                    <w:rPr/>
                    <w:t>Unchanged</w:t>
                  </w:r>
                </w:p>
              </w:tc>
            </w:tr>
            <w:tr>
              <w:trPr/>
              <w:tc>
                <w:tcPr>
                  <w:tcW w:w="17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  <w:t>Return on equity (ROE)</w:t>
                  </w:r>
                </w:p>
                <w:p>
                  <w:pPr>
                    <w:pStyle w:val="Normal1"/>
                    <w:keepNext w:val="false"/>
                    <w:keepLines w:val="false"/>
                    <w:widowControl w:val="false"/>
                    <w:numPr>
                      <w:ilvl w:val="0"/>
                      <w:numId w:val="12"/>
                    </w:numPr>
                    <w:pBdr/>
                    <w:shd w:val="clear" w:fill="auto"/>
                    <w:spacing w:lineRule="auto" w:line="240" w:before="0" w:after="0"/>
                    <w:ind w:left="720" w:right="0" w:hanging="360"/>
                    <w:jc w:val="left"/>
                    <w:rPr>
                      <w:u w:val="none"/>
                    </w:rPr>
                  </w:pPr>
                  <w:r>
                    <w:rPr/>
                    <w:t>Net income/Equity</w:t>
                  </w:r>
                </w:p>
              </w:tc>
              <w:tc>
                <w:tcPr>
                  <w:tcW w:w="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  <w:tc>
                <w:tcPr>
                  <w:tcW w:w="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fill="auto" w:val="clear"/>
                </w:tcPr>
                <w:p>
                  <w:pPr>
                    <w:pStyle w:val="Normal1"/>
                    <w:keepNext w:val="false"/>
                    <w:keepLines w:val="false"/>
                    <w:widowControl w:val="false"/>
                    <w:pBdr/>
                    <w:shd w:val="clear" w:fill="auto"/>
                    <w:spacing w:lineRule="auto" w:line="240" w:before="0" w:after="0"/>
                    <w:ind w:left="0" w:right="0" w:hanging="0"/>
                    <w:jc w:val="left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1"/>
              <w:widowControl w:val="false"/>
              <w:rPr/>
            </w:pPr>
            <w:r>
              <w:rPr/>
            </w:r>
          </w:p>
          <w:p>
            <w:pPr>
              <w:pStyle w:val="Normal1"/>
              <w:widowControl w:val="false"/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>
              <w:rPr/>
              <w:t>Breakeven Level of EBIT (EBIT*)</w:t>
            </w:r>
          </w:p>
          <w:p>
            <w:pPr>
              <w:pStyle w:val="Normal1"/>
              <w:widowControl w:val="false"/>
              <w:numPr>
                <w:ilvl w:val="1"/>
                <w:numId w:val="9"/>
              </w:numPr>
              <w:ind w:left="1440" w:hanging="360"/>
              <w:rPr>
                <w:u w:val="none"/>
              </w:rPr>
            </w:pPr>
            <w:r>
              <w:rPr/>
              <w:t>When two capital structures result in the same EPS</w:t>
            </w:r>
          </w:p>
          <w:p>
            <w:pPr>
              <w:pStyle w:val="Normal1"/>
              <w:widowControl w:val="false"/>
              <w:numPr>
                <w:ilvl w:val="1"/>
                <w:numId w:val="9"/>
              </w:numPr>
              <w:ind w:left="1440" w:hanging="360"/>
              <w:rPr>
                <w:u w:val="none"/>
              </w:rPr>
            </w:pPr>
            <w:r>
              <w:rPr/>
              <w:t>EPS (current) = EPS (proposed)</w:t>
            </w:r>
          </w:p>
          <w:p>
            <w:pPr>
              <w:pStyle w:val="Normal1"/>
              <w:widowControl w:val="false"/>
              <w:numPr>
                <w:ilvl w:val="1"/>
                <w:numId w:val="9"/>
              </w:numPr>
              <w:ind w:left="1440" w:hanging="360"/>
              <w:rPr/>
            </w:pPr>
            <w:r>
              <w:rPr/>
              <w:t>EPS (current/proposed) = (EBIT* - Interest) / Number of shares</w:t>
            </w:r>
          </w:p>
          <w:p>
            <w:pPr>
              <w:pStyle w:val="Normal1"/>
              <w:widowControl w:val="false"/>
              <w:numPr>
                <w:ilvl w:val="1"/>
                <w:numId w:val="9"/>
              </w:numPr>
              <w:ind w:left="1440" w:hanging="360"/>
              <w:rPr>
                <w:u w:val="none"/>
              </w:rPr>
            </w:pPr>
            <w:r>
              <w:rPr/>
              <w:t>Solve for EBIT*</w:t>
            </w:r>
          </w:p>
          <w:p>
            <w:pPr>
              <w:pStyle w:val="Normal1"/>
              <w:widowControl w:val="false"/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>
              <w:rPr/>
              <w:t>Breakeven ROA</w:t>
            </w:r>
          </w:p>
          <w:p>
            <w:pPr>
              <w:pStyle w:val="Normal1"/>
              <w:widowControl w:val="false"/>
              <w:numPr>
                <w:ilvl w:val="1"/>
                <w:numId w:val="9"/>
              </w:numPr>
              <w:ind w:left="1440" w:hanging="360"/>
              <w:rPr>
                <w:u w:val="none"/>
              </w:rPr>
            </w:pPr>
            <w:r>
              <w:rPr/>
              <w:t>ROA = EBIT/Assets</w:t>
            </w:r>
          </w:p>
          <w:p>
            <w:pPr>
              <w:pStyle w:val="Normal1"/>
              <w:widowControl w:val="false"/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>
              <w:rPr/>
              <w:t>Security Market Line (SML) equation</w:t>
            </w:r>
          </w:p>
          <w:p>
            <w:pPr>
              <w:pStyle w:val="Normal1"/>
              <w:widowControl w:val="false"/>
              <w:numPr>
                <w:ilvl w:val="1"/>
                <w:numId w:val="9"/>
              </w:numPr>
              <w:ind w:left="1440" w:hanging="360"/>
              <w:rPr>
                <w:u w:val="none"/>
              </w:rPr>
            </w:pPr>
            <w:r>
              <w:rPr/>
            </w:r>
            <m:oMathPara xmlns:m="http://schemas.openxmlformats.org/officeDocument/2006/math"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E</m:t>
                </m:r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f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</m:t>
                </m:r>
                <m:d>
                  <m:dPr>
                    <m:begChr m:val="["/>
                    <m:endChr m:val="]"/>
                  </m:dPr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  <m:d>
                      <m:dPr>
                        <m:begChr m:val="("/>
                        <m:endChr m:val=")"/>
                      </m:d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m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f</m:t>
                        </m:r>
                      </m:sub>
                    </m:sSub>
                  </m:e>
                </m:d>
                <m:sSub>
                  <m:e>
                    <m:r>
                      <w:rPr>
                        <w:rFonts w:ascii="Cambria Math" w:hAnsi="Cambria Math"/>
                      </w:rPr>
                      <m:t xml:space="preserve"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j</m:t>
                    </m:r>
                  </m:sub>
                </m:sSub>
              </m:oMath>
            </m:oMathPara>
          </w:p>
          <w:p>
            <w:pPr>
              <w:pStyle w:val="Normal1"/>
              <w:widowControl w:val="false"/>
              <w:numPr>
                <w:ilvl w:val="2"/>
                <w:numId w:val="9"/>
              </w:numPr>
              <w:ind w:left="2160" w:hanging="360"/>
              <w:rPr>
                <w:u w:val="none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E</m:t>
              </m:r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j</m:t>
                      </m:r>
                    </m:sub>
                  </m:sSub>
                </m:e>
              </m:d>
            </m:oMath>
            <w:r>
              <w:rPr/>
              <w:t>: Expected return from your investment</w:t>
            </w:r>
          </w:p>
          <w:p>
            <w:pPr>
              <w:pStyle w:val="Normal1"/>
              <w:widowControl w:val="false"/>
              <w:numPr>
                <w:ilvl w:val="2"/>
                <w:numId w:val="9"/>
              </w:numPr>
              <w:ind w:left="2160" w:hanging="360"/>
              <w:rPr>
                <w:u w:val="none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E</m:t>
              </m:r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m</m:t>
                      </m:r>
                    </m:sub>
                  </m:sSub>
                </m:e>
              </m:d>
            </m:oMath>
            <w:r>
              <w:rPr/>
              <w:t>: Expected return from the market</w:t>
            </w:r>
          </w:p>
          <w:p>
            <w:pPr>
              <w:pStyle w:val="Normal1"/>
              <w:widowControl w:val="false"/>
              <w:numPr>
                <w:ilvl w:val="2"/>
                <w:numId w:val="9"/>
              </w:numPr>
              <w:ind w:left="2160" w:hanging="360"/>
              <w:rPr>
                <w:u w:val="none"/>
              </w:rPr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f</m:t>
                  </m:r>
                </m:sub>
              </m:sSub>
            </m:oMath>
            <w:r>
              <w:rPr/>
              <w:t>: Risk-Free return</w:t>
            </w:r>
          </w:p>
          <w:p>
            <w:pPr>
              <w:pStyle w:val="Normal1"/>
              <w:widowControl w:val="false"/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>
              <w:rPr/>
              <w:t>If not mentioned, tax rate = 30%</w:t>
            </w:r>
          </w:p>
          <w:p>
            <w:pPr>
              <w:pStyle w:val="Normal1"/>
              <w:widowControl w:val="false"/>
              <w:numPr>
                <w:ilvl w:val="1"/>
                <w:numId w:val="9"/>
              </w:numPr>
              <w:ind w:left="1440" w:hanging="360"/>
              <w:rPr>
                <w:u w:val="none"/>
              </w:rPr>
            </w:pPr>
            <w:r>
              <w:rPr>
                <w:u w:val="none"/>
              </w:rPr>
            </w:r>
          </w:p>
        </w:tc>
      </w:tr>
      <w:tr>
        <w:trPr/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1</w:t>
            </w:r>
          </w:p>
        </w:tc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Debt-to-equity ratio</w:t>
            </w:r>
          </w:p>
        </w:tc>
        <w:tc>
          <w:tcPr>
            <w:tcW w:w="3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  <m:oMathPara xmlns:m="http://schemas.openxmlformats.org/officeDocument/2006/math">
              <m:oMathParaPr>
                <m:jc m:val="left"/>
              </m:oMathParaPr>
              <m:oMath>
                <m:f>
                  <m:fPr>
                    <m:type m:val="lin"/>
                  </m:fPr>
                  <m:num>
                    <m:r>
                      <w:rPr>
                        <w:rFonts w:ascii="Cambria Math" w:hAnsi="Cambria Math"/>
                      </w:rPr>
                      <m:t xml:space="preserve"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E</m:t>
                    </m:r>
                  </m:den>
                </m:f>
              </m:oMath>
            </m:oMathPara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Value</w:t>
            </w:r>
          </w:p>
        </w:tc>
        <w:tc>
          <w:tcPr>
            <w:tcW w:w="3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  <m:oMathPara xmlns:m="http://schemas.openxmlformats.org/officeDocument/2006/math"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V</m:t>
                </m:r>
                <m:r>
                  <w:rPr>
                    <w:rFonts w:ascii="Cambria Math" w:hAnsi="Cambria Math"/>
                  </w:rPr>
                  <m:t xml:space="preserve">=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D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</m:d>
              </m:oMath>
            </m:oMathPara>
          </w:p>
          <w:p>
            <w:pPr>
              <w:pStyle w:val="Normal1"/>
              <w:widowControl w:val="false"/>
              <w:rPr/>
            </w:pPr>
            <w:r>
              <w:rPr/>
            </w:r>
            <m:oMathPara xmlns:m="http://schemas.openxmlformats.org/officeDocument/2006/math"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V</m:t>
                </m:r>
                <m:r>
                  <w:rPr>
                    <w:rFonts w:ascii="Cambria Math" w:hAnsi="Cambria Math"/>
                  </w:rPr>
                  <m:t xml:space="preserve">=</m:t>
                </m:r>
                <m:f>
                  <m:num>
                    <m:r>
                      <w:rPr>
                        <w:rFonts w:ascii="Cambria Math" w:hAnsi="Cambria Math"/>
                      </w:rPr>
                      <m:t xml:space="preserve">EBIT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r</m:t>
                    </m:r>
                  </m:den>
                </m:f>
              </m:oMath>
            </m:oMathPara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>
                <w:rFonts w:eastAsia="Times New Roman" w:cs="Times New Roman" w:ascii="Times New Roman" w:hAnsi="Times New Roman"/>
                <w:sz w:val="14"/>
                <w:szCs w:val="14"/>
              </w:rPr>
              <w:t>the company’s market value equals the present value of the EBIT it generates regardless of the capital structure it chooses</w:t>
            </w:r>
          </w:p>
        </w:tc>
      </w:tr>
      <w:tr>
        <w:trPr/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Debt-to-value ratio</w:t>
            </w:r>
          </w:p>
        </w:tc>
        <w:tc>
          <w:tcPr>
            <w:tcW w:w="3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  <m:oMathPara xmlns:m="http://schemas.openxmlformats.org/officeDocument/2006/math">
              <m:oMathParaPr>
                <m:jc m:val="left"/>
              </m:oMathParaPr>
              <m:oMath>
                <m:f>
                  <m:fPr>
                    <m:type m:val="lin"/>
                  </m:fPr>
                  <m:num>
                    <m:r>
                      <w:rPr>
                        <w:rFonts w:ascii="Cambria Math" w:hAnsi="Cambria Math"/>
                      </w:rPr>
                      <m:t xml:space="preserve"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V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</m:t>
                </m:r>
                <m:d>
                  <m:dPr>
                    <m:begChr m:val="["/>
                    <m:endChr m:val="]"/>
                  </m:dPr>
                  <m:e>
                    <m:f>
                      <m:fPr>
                        <m:type m:val="lin"/>
                      </m:fPr>
                      <m:num>
                        <m:r>
                          <w:rPr>
                            <w:rFonts w:ascii="Cambria Math" w:hAnsi="Cambria Math"/>
                          </w:rPr>
                          <m:t xml:space="preserve">D</m:t>
                        </m:r>
                      </m:num>
                      <m:den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D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E</m:t>
                            </m:r>
                          </m:e>
                        </m:d>
                      </m:den>
                    </m:f>
                  </m:e>
                </m:d>
              </m:oMath>
            </m:oMathPara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Equity-to-value ratio</w:t>
            </w:r>
          </w:p>
        </w:tc>
        <w:tc>
          <w:tcPr>
            <w:tcW w:w="3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  <m:oMathPara xmlns:m="http://schemas.openxmlformats.org/officeDocument/2006/math">
              <m:oMathParaPr>
                <m:jc m:val="left"/>
              </m:oMathParaPr>
              <m:oMath>
                <m:f>
                  <m:fPr>
                    <m:type m:val="lin"/>
                  </m:fPr>
                  <m:num>
                    <m:r>
                      <w:rPr>
                        <w:rFonts w:ascii="Cambria Math" w:hAnsi="Cambria Math"/>
                      </w:rPr>
                      <m:t xml:space="preserve">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V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</m:t>
                </m:r>
                <m:d>
                  <m:dPr>
                    <m:begChr m:val="["/>
                    <m:endChr m:val="]"/>
                  </m:dPr>
                  <m:e>
                    <m:f>
                      <m:fPr>
                        <m:type m:val="lin"/>
                      </m:fPr>
                      <m:num>
                        <m:r>
                          <w:rPr>
                            <w:rFonts w:ascii="Cambria Math" w:hAnsi="Cambria Math"/>
                          </w:rPr>
                          <m:t xml:space="preserve">E</m:t>
                        </m:r>
                      </m:num>
                      <m:den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D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E</m:t>
                            </m:r>
                          </m:e>
                        </m:d>
                      </m:den>
                    </m:f>
                  </m:e>
                </m:d>
              </m:oMath>
            </m:oMathPara>
          </w:p>
          <w:p>
            <w:pPr>
              <w:pStyle w:val="Normal1"/>
              <w:widowControl w:val="false"/>
              <w:rPr/>
            </w:pPr>
            <w:r>
              <w:rPr/>
            </w:r>
            <m:oMathPara xmlns:m="http://schemas.openxmlformats.org/officeDocument/2006/math">
              <m:oMathParaPr>
                <m:jc m:val="left"/>
              </m:oMathParaPr>
              <m:oMath>
                <m:f>
                  <m:fPr>
                    <m:type m:val="lin"/>
                  </m:fPr>
                  <m:num>
                    <m:r>
                      <w:rPr>
                        <w:rFonts w:ascii="Cambria Math" w:hAnsi="Cambria Math"/>
                      </w:rPr>
                      <m:t xml:space="preserve">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V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f>
                  <m:fPr>
                    <m:type m:val="lin"/>
                  </m:fPr>
                  <m:num>
                    <m:r>
                      <w:rPr>
                        <w:rFonts w:ascii="Cambria Math" w:hAnsi="Cambria Math"/>
                      </w:rPr>
                      <m:t xml:space="preserve"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V</m:t>
                    </m:r>
                  </m:den>
                </m:f>
              </m:oMath>
            </m:oMathPara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3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3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3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3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</w:tr>
    </w:tbl>
    <w:p>
      <w:pPr>
        <w:pStyle w:val="Normal1"/>
        <w:pageBreakBefore w:val="false"/>
        <w:rPr/>
      </w:pPr>
      <w:r>
        <w:rPr/>
      </w:r>
    </w:p>
    <w:p>
      <w:pPr>
        <w:pStyle w:val="Normal1"/>
        <w:pageBreakBefore w:val="false"/>
        <w:rPr/>
      </w:pPr>
      <w:r>
        <w:rPr/>
      </w:r>
    </w:p>
    <w:tbl>
      <w:tblPr>
        <w:tblStyle w:val="Table9"/>
        <w:tblW w:w="10455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410"/>
        <w:gridCol w:w="3314"/>
        <w:gridCol w:w="5731"/>
      </w:tblGrid>
      <w:tr>
        <w:trPr/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Symbol</w:t>
            </w:r>
          </w:p>
        </w:tc>
        <w:tc>
          <w:tcPr>
            <w:tcW w:w="33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Meaning</w:t>
            </w:r>
          </w:p>
        </w:tc>
        <w:tc>
          <w:tcPr>
            <w:tcW w:w="57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Units</w:t>
            </w:r>
          </w:p>
        </w:tc>
      </w:tr>
      <w:tr>
        <w:trPr/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  <m:oMathPara xmlns:m="http://schemas.openxmlformats.org/officeDocument/2006/math"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D</m:t>
                </m:r>
              </m:oMath>
            </m:oMathPara>
          </w:p>
        </w:tc>
        <w:tc>
          <w:tcPr>
            <w:tcW w:w="33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(Market Value of) Debt</w:t>
            </w:r>
          </w:p>
        </w:tc>
        <w:tc>
          <w:tcPr>
            <w:tcW w:w="57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  <m:oMathPara xmlns:m="http://schemas.openxmlformats.org/officeDocument/2006/math"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E</m:t>
                </m:r>
              </m:oMath>
            </m:oMathPara>
          </w:p>
        </w:tc>
        <w:tc>
          <w:tcPr>
            <w:tcW w:w="33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(Market Value of) Equity</w:t>
            </w:r>
          </w:p>
        </w:tc>
        <w:tc>
          <w:tcPr>
            <w:tcW w:w="57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76"/>
              <w:rPr/>
            </w:pPr>
            <w:r>
              <w:rPr/>
            </w:r>
          </w:p>
        </w:tc>
      </w:tr>
      <w:tr>
        <w:trPr/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</w:r>
            <m:oMathPara xmlns:m="http://schemas.openxmlformats.org/officeDocument/2006/math"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D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E</m:t>
                </m:r>
              </m:oMath>
            </m:oMathPara>
          </w:p>
        </w:tc>
        <w:tc>
          <w:tcPr>
            <w:tcW w:w="33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Value/Market value of assets</w:t>
            </w:r>
          </w:p>
        </w:tc>
        <w:tc>
          <w:tcPr>
            <w:tcW w:w="57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76"/>
              <w:rPr/>
            </w:pPr>
            <w:r>
              <w:rPr/>
            </w:r>
          </w:p>
        </w:tc>
      </w:tr>
      <w:tr>
        <w:trPr/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EBIT</w:t>
            </w:r>
          </w:p>
        </w:tc>
        <w:tc>
          <w:tcPr>
            <w:tcW w:w="33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Earnings before interest and taxes</w:t>
            </w:r>
          </w:p>
        </w:tc>
        <w:tc>
          <w:tcPr>
            <w:tcW w:w="57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Net operating income stream each year for the foreseeable future</w:t>
            </w:r>
          </w:p>
        </w:tc>
      </w:tr>
      <w:tr>
        <w:trPr/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EPS</w:t>
            </w:r>
          </w:p>
        </w:tc>
        <w:tc>
          <w:tcPr>
            <w:tcW w:w="33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Earnings per share</w:t>
            </w:r>
          </w:p>
        </w:tc>
        <w:tc>
          <w:tcPr>
            <w:tcW w:w="57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Net income/Number of shares</w:t>
            </w:r>
          </w:p>
        </w:tc>
      </w:tr>
      <w:tr>
        <w:trPr/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ROE</w:t>
            </w:r>
          </w:p>
        </w:tc>
        <w:tc>
          <w:tcPr>
            <w:tcW w:w="33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Return on equity</w:t>
            </w:r>
          </w:p>
        </w:tc>
        <w:tc>
          <w:tcPr>
            <w:tcW w:w="57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Net income/Market value of equity</w:t>
            </w:r>
          </w:p>
        </w:tc>
      </w:tr>
      <w:tr>
        <w:trPr/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ROA</w:t>
            </w:r>
          </w:p>
        </w:tc>
        <w:tc>
          <w:tcPr>
            <w:tcW w:w="33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Return on assets</w:t>
            </w:r>
          </w:p>
        </w:tc>
        <w:tc>
          <w:tcPr>
            <w:tcW w:w="57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/>
            </w:pPr>
            <w:r>
              <w:rPr/>
              <w:t>EBIT/Market value of firm</w:t>
            </w:r>
          </w:p>
        </w:tc>
      </w:tr>
    </w:tbl>
    <w:p>
      <w:pPr>
        <w:pStyle w:val="Normal1"/>
        <w:pageBreakBefore w:val="false"/>
        <w:rPr/>
      </w:pPr>
      <w:r>
        <w:rPr/>
      </w:r>
    </w:p>
    <w:p>
      <w:pPr>
        <w:pStyle w:val="Normal1"/>
        <w:pageBreakBefore w:val="false"/>
        <w:rPr/>
      </w:pPr>
      <w:r>
        <w:rPr/>
      </w:r>
    </w:p>
    <w:p>
      <w:pPr>
        <w:pStyle w:val="Normal1"/>
        <w:pageBreakBefore w:val="false"/>
        <w:rPr/>
      </w:pPr>
      <w:r>
        <w:rPr/>
      </w:r>
    </w:p>
    <w:sectPr>
      <w:type w:val="nextPage"/>
      <w:pgSz w:w="11906" w:h="16838"/>
      <w:pgMar w:left="720" w:right="720" w:gutter="0" w:header="0" w:top="720" w:footer="0" w:bottom="72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Roboto Condensed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Nova Mono">
    <w:charset w:val="00"/>
    <w:family w:val="roman"/>
    <w:pitch w:val="variable"/>
  </w:font>
  <w:font w:name="Caudex">
    <w:charset w:val="00"/>
    <w:family w:val="roman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40"/>
  <w:displayBackgroundShape/>
  <w:defaultTabStop w:val="720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Roboto Condensed" w:hAnsi="Roboto Condensed" w:eastAsia="Roboto Condensed" w:cs="Roboto Condensed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Roboto Condensed" w:hAnsi="Roboto Condensed" w:eastAsia="Roboto Condensed" w:cs="Roboto Condensed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jc w:val="center"/>
    </w:pPr>
    <w:rPr>
      <w:b/>
      <w:color w:val="FFFFFF"/>
      <w:sz w:val="36"/>
      <w:szCs w:val="36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jc w:val="center"/>
    </w:pPr>
    <w:rPr>
      <w:b/>
      <w:sz w:val="28"/>
      <w:szCs w:val="28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</w:pPr>
    <w:rPr>
      <w:b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1" w:default="1">
    <w:name w:val="LO-normal"/>
    <w:qFormat/>
    <w:pPr>
      <w:widowControl/>
      <w:bidi w:val="0"/>
      <w:spacing w:before="0" w:after="0"/>
      <w:jc w:val="left"/>
    </w:pPr>
    <w:rPr>
      <w:rFonts w:ascii="Roboto Condensed" w:hAnsi="Roboto Condensed" w:eastAsia="Roboto Condensed" w:cs="Roboto Condensed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/>
      <w:jc w:val="center"/>
    </w:pPr>
    <w:rPr>
      <w:rFonts w:ascii="Roboto Condensed" w:hAnsi="Roboto Condensed" w:eastAsia="Roboto Condensed" w:cs="Roboto Condensed"/>
      <w:b/>
      <w:color w:val="FFFFFF"/>
      <w:sz w:val="48"/>
      <w:szCs w:val="48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LibreOffice/7.5.0.3$Windows_X86_64 LibreOffice_project/c21113d003cd3efa8c53188764377a8272d9d6de</Application>
  <AppVersion>15.0000</AppVersion>
  <Pages>7</Pages>
  <Words>562</Words>
  <Characters>2736</Characters>
  <CharactersWithSpaces>3122</CharactersWithSpaces>
  <Paragraphs>134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zh-CN</dc:language>
  <cp:lastModifiedBy/>
  <dcterms:modified xsi:type="dcterms:W3CDTF">2023-11-16T22:16:52Z</dcterms:modified>
  <cp:revision>1</cp:revision>
  <dc:subject/>
  <dc:title/>
</cp:coreProperties>
</file>